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5E34BF">
        <w:tblPrEx>
          <w:tblCellMar>
            <w:top w:w="0" w:type="dxa"/>
            <w:bottom w:w="0" w:type="dxa"/>
          </w:tblCellMar>
        </w:tblPrEx>
        <w:trPr>
          <w:tblCellSpacing w:w="60" w:type="dxa"/>
        </w:trPr>
        <w:tc>
          <w:tcPr>
            <w:tcW w:w="1200" w:type="pct"/>
            <w:shd w:val="clear" w:color="auto" w:fill="E7F0F9"/>
          </w:tcPr>
          <w:p w:rsidR="005E34BF" w:rsidRDefault="001B64CD">
            <w:pPr>
              <w:spacing w:after="0" w:line="240" w:lineRule="auto"/>
            </w:pPr>
            <w:r>
              <w:rPr>
                <w:b/>
              </w:rPr>
              <w:t>RKP broj</w:t>
            </w:r>
          </w:p>
        </w:tc>
        <w:tc>
          <w:tcPr>
            <w:tcW w:w="0" w:type="auto"/>
            <w:shd w:val="clear" w:color="auto" w:fill="E7F0F9"/>
          </w:tcPr>
          <w:p w:rsidR="005E34BF" w:rsidRDefault="001B64CD">
            <w:pPr>
              <w:spacing w:after="0" w:line="240" w:lineRule="auto"/>
            </w:pPr>
            <w:r>
              <w:t>10284</w:t>
            </w:r>
          </w:p>
        </w:tc>
      </w:tr>
      <w:tr w:rsidR="005E34BF">
        <w:tblPrEx>
          <w:tblCellMar>
            <w:top w:w="0" w:type="dxa"/>
            <w:bottom w:w="0" w:type="dxa"/>
          </w:tblCellMar>
        </w:tblPrEx>
        <w:trPr>
          <w:tblCellSpacing w:w="60" w:type="dxa"/>
        </w:trPr>
        <w:tc>
          <w:tcPr>
            <w:tcW w:w="1200" w:type="pct"/>
            <w:shd w:val="clear" w:color="auto" w:fill="E7F0F9"/>
          </w:tcPr>
          <w:p w:rsidR="005E34BF" w:rsidRDefault="001B64CD">
            <w:pPr>
              <w:spacing w:after="0" w:line="240" w:lineRule="auto"/>
            </w:pPr>
            <w:r>
              <w:rPr>
                <w:b/>
              </w:rPr>
              <w:t>Naziv obveznika</w:t>
            </w:r>
          </w:p>
        </w:tc>
        <w:tc>
          <w:tcPr>
            <w:tcW w:w="0" w:type="auto"/>
            <w:shd w:val="clear" w:color="auto" w:fill="E7F0F9"/>
          </w:tcPr>
          <w:p w:rsidR="005E34BF" w:rsidRDefault="001B64CD">
            <w:pPr>
              <w:spacing w:after="0" w:line="240" w:lineRule="auto"/>
            </w:pPr>
            <w:r>
              <w:t>OSNOVNA ŠKOLA ANTUN I STJEPAN RADIĆ</w:t>
            </w:r>
          </w:p>
        </w:tc>
      </w:tr>
      <w:tr w:rsidR="005E34BF">
        <w:tblPrEx>
          <w:tblCellMar>
            <w:top w:w="0" w:type="dxa"/>
            <w:bottom w:w="0" w:type="dxa"/>
          </w:tblCellMar>
        </w:tblPrEx>
        <w:trPr>
          <w:tblCellSpacing w:w="60" w:type="dxa"/>
        </w:trPr>
        <w:tc>
          <w:tcPr>
            <w:tcW w:w="1200" w:type="pct"/>
            <w:shd w:val="clear" w:color="auto" w:fill="E7F0F9"/>
          </w:tcPr>
          <w:p w:rsidR="005E34BF" w:rsidRDefault="001B64CD">
            <w:pPr>
              <w:spacing w:after="0" w:line="240" w:lineRule="auto"/>
            </w:pPr>
            <w:r>
              <w:rPr>
                <w:b/>
              </w:rPr>
              <w:t>Razina</w:t>
            </w:r>
          </w:p>
        </w:tc>
        <w:tc>
          <w:tcPr>
            <w:tcW w:w="0" w:type="auto"/>
            <w:shd w:val="clear" w:color="auto" w:fill="E7F0F9"/>
          </w:tcPr>
          <w:p w:rsidR="005E34BF" w:rsidRDefault="001B64CD">
            <w:pPr>
              <w:spacing w:after="0" w:line="240" w:lineRule="auto"/>
            </w:pPr>
            <w:r>
              <w:t>31</w:t>
            </w:r>
          </w:p>
        </w:tc>
      </w:tr>
    </w:tbl>
    <w:p w:rsidR="005E34BF" w:rsidRDefault="001B64CD">
      <w:r>
        <w:br/>
      </w:r>
    </w:p>
    <w:p w:rsidR="005E34BF" w:rsidRDefault="001B64CD">
      <w:pPr>
        <w:spacing w:line="240" w:lineRule="auto"/>
        <w:jc w:val="center"/>
      </w:pPr>
      <w:r>
        <w:rPr>
          <w:b/>
          <w:sz w:val="28"/>
        </w:rPr>
        <w:t>BILJEŠKE UZ FINANCIJSKE IZVJEŠTAJE</w:t>
      </w:r>
    </w:p>
    <w:p w:rsidR="005E34BF" w:rsidRDefault="001B64CD">
      <w:pPr>
        <w:spacing w:line="240" w:lineRule="auto"/>
        <w:jc w:val="center"/>
      </w:pPr>
      <w:r>
        <w:rPr>
          <w:b/>
          <w:sz w:val="28"/>
        </w:rPr>
        <w:t>ZA RAZDOBLJE</w:t>
      </w:r>
    </w:p>
    <w:p w:rsidR="005E34BF" w:rsidRDefault="001B64CD">
      <w:pPr>
        <w:spacing w:line="240" w:lineRule="auto"/>
        <w:jc w:val="center"/>
      </w:pPr>
      <w:r>
        <w:rPr>
          <w:b/>
          <w:sz w:val="28"/>
        </w:rPr>
        <w:t>I - VI 2026.</w:t>
      </w:r>
    </w:p>
    <w:p w:rsidR="005E34BF" w:rsidRDefault="005E34BF"/>
    <w:p w:rsidR="005E34BF" w:rsidRDefault="001B64CD">
      <w:pPr>
        <w:keepNext/>
        <w:spacing w:line="240" w:lineRule="auto"/>
        <w:jc w:val="center"/>
      </w:pPr>
      <w:r>
        <w:rPr>
          <w:b/>
          <w:sz w:val="28"/>
        </w:rPr>
        <w:t>Izvještaj o prihodima i rashodima, primicima i izdacima</w:t>
      </w:r>
    </w:p>
    <w:p w:rsidR="005E34BF" w:rsidRDefault="001B64CD">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6</w:t>
            </w:r>
          </w:p>
        </w:tc>
        <w:tc>
          <w:tcPr>
            <w:tcW w:w="3180" w:type="dxa"/>
            <w:tcMar>
              <w:top w:w="0" w:type="dxa"/>
              <w:bottom w:w="0" w:type="dxa"/>
            </w:tcMar>
            <w:vAlign w:val="center"/>
          </w:tcPr>
          <w:p w:rsidR="005E34BF" w:rsidRDefault="001B64CD">
            <w:pPr>
              <w:keepNext/>
              <w:keepLines/>
              <w:spacing w:after="0" w:line="240" w:lineRule="auto"/>
            </w:pPr>
            <w:r>
              <w:rPr>
                <w:sz w:val="18"/>
              </w:rPr>
              <w:t>PRIHODI POSLOVANJA (šifre 61+62+63+64+65+66+67+68)</w:t>
            </w:r>
          </w:p>
        </w:tc>
        <w:tc>
          <w:tcPr>
            <w:tcW w:w="700" w:type="dxa"/>
            <w:tcMar>
              <w:top w:w="0" w:type="dxa"/>
              <w:bottom w:w="0" w:type="dxa"/>
            </w:tcMar>
            <w:vAlign w:val="center"/>
          </w:tcPr>
          <w:p w:rsidR="005E34BF" w:rsidRDefault="001B64CD">
            <w:pPr>
              <w:keepNext/>
              <w:keepLines/>
              <w:spacing w:after="0" w:line="240" w:lineRule="auto"/>
            </w:pPr>
            <w:r>
              <w:rPr>
                <w:sz w:val="18"/>
              </w:rPr>
              <w:t>6</w:t>
            </w:r>
          </w:p>
        </w:tc>
        <w:tc>
          <w:tcPr>
            <w:tcW w:w="1860" w:type="dxa"/>
            <w:tcMar>
              <w:top w:w="0" w:type="dxa"/>
              <w:bottom w:w="0" w:type="dxa"/>
            </w:tcMar>
            <w:vAlign w:val="center"/>
          </w:tcPr>
          <w:p w:rsidR="005E34BF" w:rsidRDefault="001B64CD">
            <w:pPr>
              <w:keepNext/>
              <w:keepLines/>
              <w:spacing w:after="0" w:line="240" w:lineRule="auto"/>
              <w:jc w:val="right"/>
            </w:pPr>
            <w:r>
              <w:rPr>
                <w:sz w:val="18"/>
              </w:rPr>
              <w:t>776.866,41</w:t>
            </w:r>
          </w:p>
        </w:tc>
        <w:tc>
          <w:tcPr>
            <w:tcW w:w="1860" w:type="dxa"/>
            <w:tcMar>
              <w:top w:w="0" w:type="dxa"/>
              <w:bottom w:w="0" w:type="dxa"/>
            </w:tcMar>
            <w:vAlign w:val="center"/>
          </w:tcPr>
          <w:p w:rsidR="005E34BF" w:rsidRDefault="001B64CD">
            <w:pPr>
              <w:keepNext/>
              <w:keepLines/>
              <w:spacing w:after="0" w:line="240" w:lineRule="auto"/>
              <w:jc w:val="right"/>
            </w:pPr>
            <w:r>
              <w:rPr>
                <w:sz w:val="18"/>
              </w:rPr>
              <w:t>819.887,18</w:t>
            </w:r>
          </w:p>
        </w:tc>
        <w:tc>
          <w:tcPr>
            <w:tcW w:w="700" w:type="dxa"/>
            <w:tcMar>
              <w:top w:w="0" w:type="dxa"/>
              <w:bottom w:w="0" w:type="dxa"/>
            </w:tcMar>
            <w:vAlign w:val="center"/>
          </w:tcPr>
          <w:p w:rsidR="005E34BF" w:rsidRDefault="001B64CD">
            <w:pPr>
              <w:keepNext/>
              <w:keepLines/>
              <w:spacing w:after="0" w:line="240" w:lineRule="auto"/>
              <w:jc w:val="right"/>
            </w:pPr>
            <w:r>
              <w:rPr>
                <w:sz w:val="18"/>
              </w:rPr>
              <w:t>105,5</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3</w:t>
            </w:r>
          </w:p>
        </w:tc>
        <w:tc>
          <w:tcPr>
            <w:tcW w:w="3180" w:type="dxa"/>
            <w:tcMar>
              <w:top w:w="0" w:type="dxa"/>
              <w:bottom w:w="0" w:type="dxa"/>
            </w:tcMar>
            <w:vAlign w:val="center"/>
          </w:tcPr>
          <w:p w:rsidR="005E34BF" w:rsidRDefault="001B64CD">
            <w:pPr>
              <w:keepNext/>
              <w:keepLines/>
              <w:spacing w:after="0" w:line="240" w:lineRule="auto"/>
            </w:pPr>
            <w:r>
              <w:rPr>
                <w:sz w:val="18"/>
              </w:rPr>
              <w:t>RASHODI POSLOVANJA (šifre 31+32+34+35+36+37+38)</w:t>
            </w:r>
          </w:p>
        </w:tc>
        <w:tc>
          <w:tcPr>
            <w:tcW w:w="700" w:type="dxa"/>
            <w:tcMar>
              <w:top w:w="0" w:type="dxa"/>
              <w:bottom w:w="0" w:type="dxa"/>
            </w:tcMar>
            <w:vAlign w:val="center"/>
          </w:tcPr>
          <w:p w:rsidR="005E34BF" w:rsidRDefault="001B64CD">
            <w:pPr>
              <w:keepNext/>
              <w:keepLines/>
              <w:spacing w:after="0" w:line="240" w:lineRule="auto"/>
            </w:pPr>
            <w:r>
              <w:rPr>
                <w:sz w:val="18"/>
              </w:rPr>
              <w:t>3</w:t>
            </w:r>
          </w:p>
        </w:tc>
        <w:tc>
          <w:tcPr>
            <w:tcW w:w="1860" w:type="dxa"/>
            <w:tcMar>
              <w:top w:w="0" w:type="dxa"/>
              <w:bottom w:w="0" w:type="dxa"/>
            </w:tcMar>
            <w:vAlign w:val="center"/>
          </w:tcPr>
          <w:p w:rsidR="005E34BF" w:rsidRDefault="001B64CD">
            <w:pPr>
              <w:keepNext/>
              <w:keepLines/>
              <w:spacing w:after="0" w:line="240" w:lineRule="auto"/>
              <w:jc w:val="right"/>
            </w:pPr>
            <w:r>
              <w:rPr>
                <w:sz w:val="18"/>
              </w:rPr>
              <w:t>883.590,03</w:t>
            </w:r>
          </w:p>
        </w:tc>
        <w:tc>
          <w:tcPr>
            <w:tcW w:w="1860" w:type="dxa"/>
            <w:tcMar>
              <w:top w:w="0" w:type="dxa"/>
              <w:bottom w:w="0" w:type="dxa"/>
            </w:tcMar>
            <w:vAlign w:val="center"/>
          </w:tcPr>
          <w:p w:rsidR="005E34BF" w:rsidRDefault="001B64CD">
            <w:pPr>
              <w:keepNext/>
              <w:keepLines/>
              <w:spacing w:after="0" w:line="240" w:lineRule="auto"/>
              <w:jc w:val="right"/>
            </w:pPr>
            <w:r>
              <w:rPr>
                <w:sz w:val="18"/>
              </w:rPr>
              <w:t>816.924,09</w:t>
            </w:r>
          </w:p>
        </w:tc>
        <w:tc>
          <w:tcPr>
            <w:tcW w:w="700" w:type="dxa"/>
            <w:tcMar>
              <w:top w:w="0" w:type="dxa"/>
              <w:bottom w:w="0" w:type="dxa"/>
            </w:tcMar>
            <w:vAlign w:val="center"/>
          </w:tcPr>
          <w:p w:rsidR="005E34BF" w:rsidRDefault="001B64CD">
            <w:pPr>
              <w:keepNext/>
              <w:keepLines/>
              <w:spacing w:after="0" w:line="240" w:lineRule="auto"/>
              <w:jc w:val="right"/>
            </w:pPr>
            <w:r>
              <w:rPr>
                <w:sz w:val="18"/>
              </w:rPr>
              <w:t>92,5</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5E34BF">
            <w:pPr>
              <w:keepNext/>
              <w:keepLines/>
              <w:spacing w:after="0" w:line="240" w:lineRule="auto"/>
            </w:pPr>
          </w:p>
        </w:tc>
        <w:tc>
          <w:tcPr>
            <w:tcW w:w="3180" w:type="dxa"/>
            <w:tcMar>
              <w:top w:w="0" w:type="dxa"/>
              <w:bottom w:w="0" w:type="dxa"/>
            </w:tcMar>
            <w:vAlign w:val="center"/>
          </w:tcPr>
          <w:p w:rsidR="005E34BF" w:rsidRDefault="001B64CD">
            <w:pPr>
              <w:keepNext/>
              <w:keepLines/>
              <w:spacing w:after="0" w:line="240" w:lineRule="auto"/>
            </w:pPr>
            <w:r>
              <w:rPr>
                <w:b/>
                <w:sz w:val="18"/>
              </w:rPr>
              <w:t>VIŠAK PRIHODA POSLOVANJA (šifre 6-Z005)</w:t>
            </w:r>
          </w:p>
        </w:tc>
        <w:tc>
          <w:tcPr>
            <w:tcW w:w="700" w:type="dxa"/>
            <w:tcMar>
              <w:top w:w="0" w:type="dxa"/>
              <w:bottom w:w="0" w:type="dxa"/>
            </w:tcMar>
            <w:vAlign w:val="center"/>
          </w:tcPr>
          <w:p w:rsidR="005E34BF" w:rsidRDefault="001B64CD">
            <w:pPr>
              <w:keepNext/>
              <w:keepLines/>
              <w:spacing w:after="0" w:line="240" w:lineRule="auto"/>
            </w:pPr>
            <w:r>
              <w:rPr>
                <w:b/>
                <w:sz w:val="18"/>
              </w:rPr>
              <w:t>X001</w:t>
            </w:r>
          </w:p>
        </w:tc>
        <w:tc>
          <w:tcPr>
            <w:tcW w:w="1860" w:type="dxa"/>
            <w:tcMar>
              <w:top w:w="0" w:type="dxa"/>
              <w:bottom w:w="0" w:type="dxa"/>
            </w:tcMar>
            <w:vAlign w:val="center"/>
          </w:tcPr>
          <w:p w:rsidR="005E34BF" w:rsidRDefault="001B64CD">
            <w:pPr>
              <w:keepNext/>
              <w:keepLines/>
              <w:spacing w:after="0" w:line="240" w:lineRule="auto"/>
              <w:jc w:val="right"/>
            </w:pPr>
            <w:r>
              <w:rPr>
                <w:b/>
                <w:sz w:val="18"/>
              </w:rPr>
              <w:t>0,00</w:t>
            </w:r>
          </w:p>
        </w:tc>
        <w:tc>
          <w:tcPr>
            <w:tcW w:w="1860" w:type="dxa"/>
            <w:tcMar>
              <w:top w:w="0" w:type="dxa"/>
              <w:bottom w:w="0" w:type="dxa"/>
            </w:tcMar>
            <w:vAlign w:val="center"/>
          </w:tcPr>
          <w:p w:rsidR="005E34BF" w:rsidRDefault="001B64CD">
            <w:pPr>
              <w:keepNext/>
              <w:keepLines/>
              <w:spacing w:after="0" w:line="240" w:lineRule="auto"/>
              <w:jc w:val="right"/>
            </w:pPr>
            <w:r>
              <w:rPr>
                <w:b/>
                <w:sz w:val="18"/>
              </w:rPr>
              <w:t>2.963,09</w:t>
            </w:r>
          </w:p>
        </w:tc>
        <w:tc>
          <w:tcPr>
            <w:tcW w:w="700" w:type="dxa"/>
            <w:tcMar>
              <w:top w:w="0" w:type="dxa"/>
              <w:bottom w:w="0" w:type="dxa"/>
            </w:tcMar>
            <w:vAlign w:val="center"/>
          </w:tcPr>
          <w:p w:rsidR="005E34BF" w:rsidRDefault="001B64CD">
            <w:pPr>
              <w:keepNext/>
              <w:keepLines/>
              <w:spacing w:after="0" w:line="240" w:lineRule="auto"/>
              <w:jc w:val="right"/>
            </w:pPr>
            <w:r>
              <w:rPr>
                <w:b/>
                <w:sz w:val="18"/>
              </w:rPr>
              <w:t>-</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7</w:t>
            </w:r>
          </w:p>
        </w:tc>
        <w:tc>
          <w:tcPr>
            <w:tcW w:w="3180" w:type="dxa"/>
            <w:tcMar>
              <w:top w:w="0" w:type="dxa"/>
              <w:bottom w:w="0" w:type="dxa"/>
            </w:tcMar>
            <w:vAlign w:val="center"/>
          </w:tcPr>
          <w:p w:rsidR="005E34BF" w:rsidRDefault="001B64CD">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5E34BF" w:rsidRDefault="001B64CD">
            <w:pPr>
              <w:keepNext/>
              <w:keepLines/>
              <w:spacing w:after="0" w:line="240" w:lineRule="auto"/>
            </w:pPr>
            <w:r>
              <w:rPr>
                <w:sz w:val="18"/>
              </w:rPr>
              <w:t>7</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1860" w:type="dxa"/>
            <w:tcMar>
              <w:top w:w="0" w:type="dxa"/>
              <w:bottom w:w="0" w:type="dxa"/>
            </w:tcMar>
            <w:vAlign w:val="center"/>
          </w:tcPr>
          <w:p w:rsidR="005E34BF" w:rsidRDefault="001B64CD">
            <w:pPr>
              <w:keepNext/>
              <w:keepLines/>
              <w:spacing w:after="0" w:line="240" w:lineRule="auto"/>
              <w:jc w:val="right"/>
            </w:pPr>
            <w:r>
              <w:rPr>
                <w:sz w:val="18"/>
              </w:rPr>
              <w:t>22.000,00</w:t>
            </w:r>
          </w:p>
        </w:tc>
        <w:tc>
          <w:tcPr>
            <w:tcW w:w="700" w:type="dxa"/>
            <w:tcMar>
              <w:top w:w="0" w:type="dxa"/>
              <w:bottom w:w="0" w:type="dxa"/>
            </w:tcMar>
            <w:vAlign w:val="center"/>
          </w:tcPr>
          <w:p w:rsidR="005E34BF" w:rsidRDefault="001B64CD">
            <w:pPr>
              <w:keepNext/>
              <w:keepLines/>
              <w:spacing w:after="0" w:line="240" w:lineRule="auto"/>
              <w:jc w:val="right"/>
            </w:pPr>
            <w:r>
              <w:rPr>
                <w:sz w:val="18"/>
              </w:rPr>
              <w:t>-</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4</w:t>
            </w:r>
          </w:p>
        </w:tc>
        <w:tc>
          <w:tcPr>
            <w:tcW w:w="3180" w:type="dxa"/>
            <w:tcMar>
              <w:top w:w="0" w:type="dxa"/>
              <w:bottom w:w="0" w:type="dxa"/>
            </w:tcMar>
            <w:vAlign w:val="center"/>
          </w:tcPr>
          <w:p w:rsidR="005E34BF" w:rsidRDefault="001B64CD">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5E34BF" w:rsidRDefault="001B64CD">
            <w:pPr>
              <w:keepNext/>
              <w:keepLines/>
              <w:spacing w:after="0" w:line="240" w:lineRule="auto"/>
            </w:pPr>
            <w:r>
              <w:rPr>
                <w:sz w:val="18"/>
              </w:rPr>
              <w:t>4</w:t>
            </w:r>
          </w:p>
        </w:tc>
        <w:tc>
          <w:tcPr>
            <w:tcW w:w="1860" w:type="dxa"/>
            <w:tcMar>
              <w:top w:w="0" w:type="dxa"/>
              <w:bottom w:w="0" w:type="dxa"/>
            </w:tcMar>
            <w:vAlign w:val="center"/>
          </w:tcPr>
          <w:p w:rsidR="005E34BF" w:rsidRDefault="001B64CD">
            <w:pPr>
              <w:keepNext/>
              <w:keepLines/>
              <w:spacing w:after="0" w:line="240" w:lineRule="auto"/>
              <w:jc w:val="right"/>
            </w:pPr>
            <w:r>
              <w:rPr>
                <w:sz w:val="18"/>
              </w:rPr>
              <w:t>6.978,09</w:t>
            </w:r>
          </w:p>
        </w:tc>
        <w:tc>
          <w:tcPr>
            <w:tcW w:w="1860" w:type="dxa"/>
            <w:tcMar>
              <w:top w:w="0" w:type="dxa"/>
              <w:bottom w:w="0" w:type="dxa"/>
            </w:tcMar>
            <w:vAlign w:val="center"/>
          </w:tcPr>
          <w:p w:rsidR="005E34BF" w:rsidRDefault="001B64CD">
            <w:pPr>
              <w:keepNext/>
              <w:keepLines/>
              <w:spacing w:after="0" w:line="240" w:lineRule="auto"/>
              <w:jc w:val="right"/>
            </w:pPr>
            <w:r>
              <w:rPr>
                <w:sz w:val="18"/>
              </w:rPr>
              <w:t>10.325,08</w:t>
            </w:r>
          </w:p>
        </w:tc>
        <w:tc>
          <w:tcPr>
            <w:tcW w:w="700" w:type="dxa"/>
            <w:tcMar>
              <w:top w:w="0" w:type="dxa"/>
              <w:bottom w:w="0" w:type="dxa"/>
            </w:tcMar>
            <w:vAlign w:val="center"/>
          </w:tcPr>
          <w:p w:rsidR="005E34BF" w:rsidRDefault="001B64CD">
            <w:pPr>
              <w:keepNext/>
              <w:keepLines/>
              <w:spacing w:after="0" w:line="240" w:lineRule="auto"/>
              <w:jc w:val="right"/>
            </w:pPr>
            <w:r>
              <w:rPr>
                <w:sz w:val="18"/>
              </w:rPr>
              <w:t>148,0</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5E34BF">
            <w:pPr>
              <w:keepNext/>
              <w:keepLines/>
              <w:spacing w:after="0" w:line="240" w:lineRule="auto"/>
            </w:pPr>
          </w:p>
        </w:tc>
        <w:tc>
          <w:tcPr>
            <w:tcW w:w="3180" w:type="dxa"/>
            <w:tcMar>
              <w:top w:w="0" w:type="dxa"/>
              <w:bottom w:w="0" w:type="dxa"/>
            </w:tcMar>
            <w:vAlign w:val="center"/>
          </w:tcPr>
          <w:p w:rsidR="005E34BF" w:rsidRDefault="001B64CD">
            <w:pPr>
              <w:keepNext/>
              <w:keepLines/>
              <w:spacing w:after="0" w:line="240" w:lineRule="auto"/>
            </w:pPr>
            <w:r>
              <w:rPr>
                <w:b/>
                <w:sz w:val="18"/>
              </w:rPr>
              <w:t>VIŠAK PRIHODA OD NEFINANCIJSKE IMOVINE (šifre 7-4)</w:t>
            </w:r>
          </w:p>
        </w:tc>
        <w:tc>
          <w:tcPr>
            <w:tcW w:w="700" w:type="dxa"/>
            <w:tcMar>
              <w:top w:w="0" w:type="dxa"/>
              <w:bottom w:w="0" w:type="dxa"/>
            </w:tcMar>
            <w:vAlign w:val="center"/>
          </w:tcPr>
          <w:p w:rsidR="005E34BF" w:rsidRDefault="001B64CD">
            <w:pPr>
              <w:keepNext/>
              <w:keepLines/>
              <w:spacing w:after="0" w:line="240" w:lineRule="auto"/>
            </w:pPr>
            <w:r>
              <w:rPr>
                <w:b/>
                <w:sz w:val="18"/>
              </w:rPr>
              <w:t>X002</w:t>
            </w:r>
          </w:p>
        </w:tc>
        <w:tc>
          <w:tcPr>
            <w:tcW w:w="1860" w:type="dxa"/>
            <w:tcMar>
              <w:top w:w="0" w:type="dxa"/>
              <w:bottom w:w="0" w:type="dxa"/>
            </w:tcMar>
            <w:vAlign w:val="center"/>
          </w:tcPr>
          <w:p w:rsidR="005E34BF" w:rsidRDefault="001B64CD">
            <w:pPr>
              <w:keepNext/>
              <w:keepLines/>
              <w:spacing w:after="0" w:line="240" w:lineRule="auto"/>
              <w:jc w:val="right"/>
            </w:pPr>
            <w:r>
              <w:rPr>
                <w:b/>
                <w:sz w:val="18"/>
              </w:rPr>
              <w:t>0,00</w:t>
            </w:r>
          </w:p>
        </w:tc>
        <w:tc>
          <w:tcPr>
            <w:tcW w:w="1860" w:type="dxa"/>
            <w:tcMar>
              <w:top w:w="0" w:type="dxa"/>
              <w:bottom w:w="0" w:type="dxa"/>
            </w:tcMar>
            <w:vAlign w:val="center"/>
          </w:tcPr>
          <w:p w:rsidR="005E34BF" w:rsidRDefault="001B64CD">
            <w:pPr>
              <w:keepNext/>
              <w:keepLines/>
              <w:spacing w:after="0" w:line="240" w:lineRule="auto"/>
              <w:jc w:val="right"/>
            </w:pPr>
            <w:r>
              <w:rPr>
                <w:b/>
                <w:sz w:val="18"/>
              </w:rPr>
              <w:t>11.674,92</w:t>
            </w:r>
          </w:p>
        </w:tc>
        <w:tc>
          <w:tcPr>
            <w:tcW w:w="700" w:type="dxa"/>
            <w:tcMar>
              <w:top w:w="0" w:type="dxa"/>
              <w:bottom w:w="0" w:type="dxa"/>
            </w:tcMar>
            <w:vAlign w:val="center"/>
          </w:tcPr>
          <w:p w:rsidR="005E34BF" w:rsidRDefault="001B64CD">
            <w:pPr>
              <w:keepNext/>
              <w:keepLines/>
              <w:spacing w:after="0" w:line="240" w:lineRule="auto"/>
              <w:jc w:val="right"/>
            </w:pPr>
            <w:r>
              <w:rPr>
                <w:b/>
                <w:sz w:val="18"/>
              </w:rPr>
              <w:t>-</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8</w:t>
            </w:r>
          </w:p>
        </w:tc>
        <w:tc>
          <w:tcPr>
            <w:tcW w:w="3180" w:type="dxa"/>
            <w:tcMar>
              <w:top w:w="0" w:type="dxa"/>
              <w:bottom w:w="0" w:type="dxa"/>
            </w:tcMar>
            <w:vAlign w:val="center"/>
          </w:tcPr>
          <w:p w:rsidR="005E34BF" w:rsidRDefault="001B64CD">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5E34BF" w:rsidRDefault="001B64CD">
            <w:pPr>
              <w:keepNext/>
              <w:keepLines/>
              <w:spacing w:after="0" w:line="240" w:lineRule="auto"/>
            </w:pPr>
            <w:r>
              <w:rPr>
                <w:sz w:val="18"/>
              </w:rPr>
              <w:t>8</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700" w:type="dxa"/>
            <w:tcMar>
              <w:top w:w="0" w:type="dxa"/>
              <w:bottom w:w="0" w:type="dxa"/>
            </w:tcMar>
            <w:vAlign w:val="center"/>
          </w:tcPr>
          <w:p w:rsidR="005E34BF" w:rsidRDefault="001B64CD">
            <w:pPr>
              <w:keepNext/>
              <w:keepLines/>
              <w:spacing w:after="0" w:line="240" w:lineRule="auto"/>
              <w:jc w:val="right"/>
            </w:pPr>
            <w:r>
              <w:rPr>
                <w:sz w:val="18"/>
              </w:rPr>
              <w:t>-</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5</w:t>
            </w:r>
          </w:p>
        </w:tc>
        <w:tc>
          <w:tcPr>
            <w:tcW w:w="3180" w:type="dxa"/>
            <w:tcMar>
              <w:top w:w="0" w:type="dxa"/>
              <w:bottom w:w="0" w:type="dxa"/>
            </w:tcMar>
            <w:vAlign w:val="center"/>
          </w:tcPr>
          <w:p w:rsidR="005E34BF" w:rsidRDefault="001B64CD">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5E34BF" w:rsidRDefault="001B64CD">
            <w:pPr>
              <w:keepNext/>
              <w:keepLines/>
              <w:spacing w:after="0" w:line="240" w:lineRule="auto"/>
            </w:pPr>
            <w:r>
              <w:rPr>
                <w:sz w:val="18"/>
              </w:rPr>
              <w:t>5</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700" w:type="dxa"/>
            <w:tcMar>
              <w:top w:w="0" w:type="dxa"/>
              <w:bottom w:w="0" w:type="dxa"/>
            </w:tcMar>
            <w:vAlign w:val="center"/>
          </w:tcPr>
          <w:p w:rsidR="005E34BF" w:rsidRDefault="001B64CD">
            <w:pPr>
              <w:keepNext/>
              <w:keepLines/>
              <w:spacing w:after="0" w:line="240" w:lineRule="auto"/>
              <w:jc w:val="right"/>
            </w:pPr>
            <w:r>
              <w:rPr>
                <w:sz w:val="18"/>
              </w:rPr>
              <w:t>-</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5E34BF">
            <w:pPr>
              <w:keepNext/>
              <w:keepLines/>
              <w:spacing w:after="0" w:line="240" w:lineRule="auto"/>
            </w:pPr>
          </w:p>
        </w:tc>
        <w:tc>
          <w:tcPr>
            <w:tcW w:w="3180" w:type="dxa"/>
            <w:tcMar>
              <w:top w:w="0" w:type="dxa"/>
              <w:bottom w:w="0" w:type="dxa"/>
            </w:tcMar>
            <w:vAlign w:val="center"/>
          </w:tcPr>
          <w:p w:rsidR="005E34BF" w:rsidRDefault="001B64CD">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5E34BF" w:rsidRDefault="001B64CD">
            <w:pPr>
              <w:keepNext/>
              <w:keepLines/>
              <w:spacing w:after="0" w:line="240" w:lineRule="auto"/>
            </w:pPr>
            <w:r>
              <w:rPr>
                <w:b/>
                <w:sz w:val="18"/>
              </w:rPr>
              <w:t>X003, Y003</w:t>
            </w:r>
          </w:p>
        </w:tc>
        <w:tc>
          <w:tcPr>
            <w:tcW w:w="1860" w:type="dxa"/>
            <w:tcMar>
              <w:top w:w="0" w:type="dxa"/>
              <w:bottom w:w="0" w:type="dxa"/>
            </w:tcMar>
            <w:vAlign w:val="center"/>
          </w:tcPr>
          <w:p w:rsidR="005E34BF" w:rsidRDefault="001B64CD">
            <w:pPr>
              <w:keepNext/>
              <w:keepLines/>
              <w:spacing w:after="0" w:line="240" w:lineRule="auto"/>
              <w:jc w:val="right"/>
            </w:pPr>
            <w:r>
              <w:rPr>
                <w:b/>
                <w:sz w:val="18"/>
              </w:rPr>
              <w:t>0,00</w:t>
            </w:r>
          </w:p>
        </w:tc>
        <w:tc>
          <w:tcPr>
            <w:tcW w:w="1860" w:type="dxa"/>
            <w:tcMar>
              <w:top w:w="0" w:type="dxa"/>
              <w:bottom w:w="0" w:type="dxa"/>
            </w:tcMar>
            <w:vAlign w:val="center"/>
          </w:tcPr>
          <w:p w:rsidR="005E34BF" w:rsidRDefault="001B64CD">
            <w:pPr>
              <w:keepNext/>
              <w:keepLines/>
              <w:spacing w:after="0" w:line="240" w:lineRule="auto"/>
              <w:jc w:val="right"/>
            </w:pPr>
            <w:r>
              <w:rPr>
                <w:b/>
                <w:sz w:val="18"/>
              </w:rPr>
              <w:t>0,00</w:t>
            </w:r>
          </w:p>
        </w:tc>
        <w:tc>
          <w:tcPr>
            <w:tcW w:w="700" w:type="dxa"/>
            <w:tcMar>
              <w:top w:w="0" w:type="dxa"/>
              <w:bottom w:w="0" w:type="dxa"/>
            </w:tcMar>
            <w:vAlign w:val="center"/>
          </w:tcPr>
          <w:p w:rsidR="005E34BF" w:rsidRDefault="001B64CD">
            <w:pPr>
              <w:keepNext/>
              <w:keepLines/>
              <w:spacing w:after="0" w:line="240" w:lineRule="auto"/>
              <w:jc w:val="right"/>
            </w:pPr>
            <w:r>
              <w:rPr>
                <w:b/>
                <w:sz w:val="18"/>
              </w:rPr>
              <w:t>-</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5E34BF">
            <w:pPr>
              <w:keepNext/>
              <w:keepLines/>
              <w:spacing w:after="0" w:line="240" w:lineRule="auto"/>
            </w:pPr>
          </w:p>
        </w:tc>
        <w:tc>
          <w:tcPr>
            <w:tcW w:w="3180" w:type="dxa"/>
            <w:tcMar>
              <w:top w:w="0" w:type="dxa"/>
              <w:bottom w:w="0" w:type="dxa"/>
            </w:tcMar>
            <w:vAlign w:val="center"/>
          </w:tcPr>
          <w:p w:rsidR="005E34BF" w:rsidRDefault="001B64CD">
            <w:pPr>
              <w:keepNext/>
              <w:keepLines/>
              <w:spacing w:after="0" w:line="240" w:lineRule="auto"/>
            </w:pPr>
            <w:r>
              <w:rPr>
                <w:b/>
                <w:sz w:val="18"/>
              </w:rPr>
              <w:t>VIŠAK PRIHODA I PRIMITAKA (šifre X678-Y345)</w:t>
            </w:r>
          </w:p>
        </w:tc>
        <w:tc>
          <w:tcPr>
            <w:tcW w:w="700" w:type="dxa"/>
            <w:tcMar>
              <w:top w:w="0" w:type="dxa"/>
              <w:bottom w:w="0" w:type="dxa"/>
            </w:tcMar>
            <w:vAlign w:val="center"/>
          </w:tcPr>
          <w:p w:rsidR="005E34BF" w:rsidRDefault="001B64CD">
            <w:pPr>
              <w:keepNext/>
              <w:keepLines/>
              <w:spacing w:after="0" w:line="240" w:lineRule="auto"/>
            </w:pPr>
            <w:r>
              <w:rPr>
                <w:b/>
                <w:sz w:val="18"/>
              </w:rPr>
              <w:t>X005</w:t>
            </w:r>
          </w:p>
        </w:tc>
        <w:tc>
          <w:tcPr>
            <w:tcW w:w="1860" w:type="dxa"/>
            <w:tcMar>
              <w:top w:w="0" w:type="dxa"/>
              <w:bottom w:w="0" w:type="dxa"/>
            </w:tcMar>
            <w:vAlign w:val="center"/>
          </w:tcPr>
          <w:p w:rsidR="005E34BF" w:rsidRDefault="001B64CD">
            <w:pPr>
              <w:keepNext/>
              <w:keepLines/>
              <w:spacing w:after="0" w:line="240" w:lineRule="auto"/>
              <w:jc w:val="right"/>
            </w:pPr>
            <w:r>
              <w:rPr>
                <w:b/>
                <w:sz w:val="18"/>
              </w:rPr>
              <w:t>0,00</w:t>
            </w:r>
          </w:p>
        </w:tc>
        <w:tc>
          <w:tcPr>
            <w:tcW w:w="1860" w:type="dxa"/>
            <w:tcMar>
              <w:top w:w="0" w:type="dxa"/>
              <w:bottom w:w="0" w:type="dxa"/>
            </w:tcMar>
            <w:vAlign w:val="center"/>
          </w:tcPr>
          <w:p w:rsidR="005E34BF" w:rsidRDefault="001B64CD">
            <w:pPr>
              <w:keepNext/>
              <w:keepLines/>
              <w:spacing w:after="0" w:line="240" w:lineRule="auto"/>
              <w:jc w:val="right"/>
            </w:pPr>
            <w:r>
              <w:rPr>
                <w:b/>
                <w:sz w:val="18"/>
              </w:rPr>
              <w:t>14.638,01</w:t>
            </w:r>
          </w:p>
        </w:tc>
        <w:tc>
          <w:tcPr>
            <w:tcW w:w="700" w:type="dxa"/>
            <w:tcMar>
              <w:top w:w="0" w:type="dxa"/>
              <w:bottom w:w="0" w:type="dxa"/>
            </w:tcMar>
            <w:vAlign w:val="center"/>
          </w:tcPr>
          <w:p w:rsidR="005E34BF" w:rsidRDefault="001B64CD">
            <w:pPr>
              <w:keepNext/>
              <w:keepLines/>
              <w:spacing w:after="0" w:line="240" w:lineRule="auto"/>
              <w:jc w:val="right"/>
            </w:pPr>
            <w:r>
              <w:rPr>
                <w:b/>
                <w:sz w:val="18"/>
              </w:rPr>
              <w:t>-</w:t>
            </w:r>
          </w:p>
        </w:tc>
      </w:tr>
    </w:tbl>
    <w:p w:rsidR="005E34BF" w:rsidRDefault="005E34BF">
      <w:pPr>
        <w:spacing w:after="0"/>
      </w:pPr>
    </w:p>
    <w:p w:rsidR="005E34BF" w:rsidRDefault="001B64CD">
      <w:r>
        <w:t>U razdoblju od 1.siječnja do 30. lipnja 2026. prihodi poslovanja ostvareni su u iznosu od 819.887,18 eura, najvećim dijelom se odnose na prihode iz pomoći i proračuna koji im nije nadležan -Ministarstvo znanosti, obrazovanja i mladih i prihoda iz nadležnog</w:t>
      </w:r>
      <w:r>
        <w:t xml:space="preserve"> proračuna za financiranje rashoda poslovanja -Vukovarsko-srijemska županija.  U izvještajnom razdoblju ostvareno je 5,5% više prihoda u odnosu na izvještajno razdoblje prethodne godine i najvećim dijelom se odnosi na povećanje prihoda iz proračuna koji im</w:t>
      </w:r>
      <w:r>
        <w:t xml:space="preserve"> nije nadležan -MZOM.</w:t>
      </w:r>
    </w:p>
    <w:p w:rsidR="005E34BF" w:rsidRDefault="001B64CD">
      <w:r>
        <w:lastRenderedPageBreak/>
        <w:t>Rashodi poslovanja u razdoblju od 01. siječnja do 30. lipnja 2026. ostvareni su u iznosu 816.924,09 eura i najvećim dijelom se odnose na rashode za zaposlene i materijalne rashode. U izvještajnom razdoblju ostvareno je 7,5% manje rash</w:t>
      </w:r>
      <w:r>
        <w:t>oda u odnosu na izvještajno razdoblje prethodne godine i najvećim dijelom se odnosi na smanjenje rashoda za zaposlene.</w:t>
      </w:r>
    </w:p>
    <w:p w:rsidR="005E34BF" w:rsidRDefault="001B64CD">
      <w:r>
        <w:t xml:space="preserve">Prihodi od prodaje nefinancijske imovine u razdoblju od 01. siječnja do 30.lipnja 2026. ostvareni su u iznosu 22.000,00 eura i odnose se </w:t>
      </w:r>
      <w:r>
        <w:t>na prodaju školskog stana. Rashodi za nabavu nefinancijske imovine u izvještajnom razdoblju iznose 10.325,08 i većim dijelom se odnose na nabavu klima uređaja za učionice.</w:t>
      </w:r>
    </w:p>
    <w:p w:rsidR="005E34BF" w:rsidRDefault="001B64CD">
      <w:r>
        <w:t xml:space="preserve">Višak prihoda i primitaka u izvještajnom razdoblju iznosi 14.638,01 eura i najvećim </w:t>
      </w:r>
      <w:r>
        <w:t>dijelom se odnosi na ostvarene prihode od prodaje nefinancijske imovine.</w:t>
      </w:r>
    </w:p>
    <w:p w:rsidR="005E34BF" w:rsidRDefault="001B64CD">
      <w:r>
        <w:br/>
      </w:r>
    </w:p>
    <w:p w:rsidR="005E34BF" w:rsidRDefault="001B64CD">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636</w:t>
            </w:r>
          </w:p>
        </w:tc>
        <w:tc>
          <w:tcPr>
            <w:tcW w:w="3180" w:type="dxa"/>
            <w:tcMar>
              <w:top w:w="0" w:type="dxa"/>
              <w:bottom w:w="0" w:type="dxa"/>
            </w:tcMar>
            <w:vAlign w:val="center"/>
          </w:tcPr>
          <w:p w:rsidR="005E34BF" w:rsidRDefault="001B64CD">
            <w:pPr>
              <w:keepNext/>
              <w:keepLines/>
              <w:spacing w:after="0" w:line="240" w:lineRule="auto"/>
            </w:pPr>
            <w:r>
              <w:rPr>
                <w:sz w:val="18"/>
              </w:rPr>
              <w:t xml:space="preserve">Pomoći </w:t>
            </w:r>
            <w:r>
              <w:rPr>
                <w:sz w:val="18"/>
              </w:rPr>
              <w:t>proračunskim korisnicima iz proračuna koji im nije nadležan (šifre 6361+6362)</w:t>
            </w:r>
          </w:p>
        </w:tc>
        <w:tc>
          <w:tcPr>
            <w:tcW w:w="700" w:type="dxa"/>
            <w:tcMar>
              <w:top w:w="0" w:type="dxa"/>
              <w:bottom w:w="0" w:type="dxa"/>
            </w:tcMar>
            <w:vAlign w:val="center"/>
          </w:tcPr>
          <w:p w:rsidR="005E34BF" w:rsidRDefault="001B64CD">
            <w:pPr>
              <w:keepNext/>
              <w:keepLines/>
              <w:spacing w:after="0" w:line="240" w:lineRule="auto"/>
            </w:pPr>
            <w:r>
              <w:rPr>
                <w:sz w:val="18"/>
              </w:rPr>
              <w:t>636</w:t>
            </w:r>
          </w:p>
        </w:tc>
        <w:tc>
          <w:tcPr>
            <w:tcW w:w="1860" w:type="dxa"/>
            <w:tcMar>
              <w:top w:w="0" w:type="dxa"/>
              <w:bottom w:w="0" w:type="dxa"/>
            </w:tcMar>
            <w:vAlign w:val="center"/>
          </w:tcPr>
          <w:p w:rsidR="005E34BF" w:rsidRDefault="001B64CD">
            <w:pPr>
              <w:keepNext/>
              <w:keepLines/>
              <w:spacing w:after="0" w:line="240" w:lineRule="auto"/>
              <w:jc w:val="right"/>
            </w:pPr>
            <w:r>
              <w:rPr>
                <w:sz w:val="18"/>
              </w:rPr>
              <w:t>729.093,80</w:t>
            </w:r>
          </w:p>
        </w:tc>
        <w:tc>
          <w:tcPr>
            <w:tcW w:w="1860" w:type="dxa"/>
            <w:tcMar>
              <w:top w:w="0" w:type="dxa"/>
              <w:bottom w:w="0" w:type="dxa"/>
            </w:tcMar>
            <w:vAlign w:val="center"/>
          </w:tcPr>
          <w:p w:rsidR="005E34BF" w:rsidRDefault="001B64CD">
            <w:pPr>
              <w:keepNext/>
              <w:keepLines/>
              <w:spacing w:after="0" w:line="240" w:lineRule="auto"/>
              <w:jc w:val="right"/>
            </w:pPr>
            <w:r>
              <w:rPr>
                <w:sz w:val="18"/>
              </w:rPr>
              <w:t>769.104,12</w:t>
            </w:r>
          </w:p>
        </w:tc>
        <w:tc>
          <w:tcPr>
            <w:tcW w:w="700" w:type="dxa"/>
            <w:tcMar>
              <w:top w:w="0" w:type="dxa"/>
              <w:bottom w:w="0" w:type="dxa"/>
            </w:tcMar>
            <w:vAlign w:val="center"/>
          </w:tcPr>
          <w:p w:rsidR="005E34BF" w:rsidRDefault="001B64CD">
            <w:pPr>
              <w:keepNext/>
              <w:keepLines/>
              <w:spacing w:after="0" w:line="240" w:lineRule="auto"/>
              <w:jc w:val="right"/>
            </w:pPr>
            <w:r>
              <w:rPr>
                <w:sz w:val="18"/>
              </w:rPr>
              <w:t>105,5</w:t>
            </w:r>
          </w:p>
        </w:tc>
      </w:tr>
    </w:tbl>
    <w:p w:rsidR="005E34BF" w:rsidRDefault="005E34BF">
      <w:pPr>
        <w:spacing w:after="0"/>
      </w:pPr>
    </w:p>
    <w:p w:rsidR="005E34BF" w:rsidRDefault="001B64CD">
      <w:r>
        <w:t>Prihodi od pomoći proračunskim korisnicima koji im nije nadležan ostvareni su u iznosu od 769.104,12 eura što je za 5,5% više u odnosu na ostvarene prihode u izvještajnom razdoblju prethodne godine. Do povećanja je došlo zbog povećanja prihoda za plaće.</w:t>
      </w:r>
    </w:p>
    <w:p w:rsidR="005E34BF" w:rsidRDefault="005E34BF"/>
    <w:p w:rsidR="005E34BF" w:rsidRDefault="001B64CD">
      <w:pPr>
        <w:keepNext/>
        <w:spacing w:line="240" w:lineRule="auto"/>
        <w:jc w:val="center"/>
      </w:pPr>
      <w:r>
        <w:rPr>
          <w:sz w:val="28"/>
        </w:rPr>
        <w:t>B</w:t>
      </w:r>
      <w:r>
        <w:rPr>
          <w:sz w:val="28"/>
        </w:rPr>
        <w:t>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638</w:t>
            </w:r>
          </w:p>
        </w:tc>
        <w:tc>
          <w:tcPr>
            <w:tcW w:w="3180" w:type="dxa"/>
            <w:tcMar>
              <w:top w:w="0" w:type="dxa"/>
              <w:bottom w:w="0" w:type="dxa"/>
            </w:tcMar>
            <w:vAlign w:val="center"/>
          </w:tcPr>
          <w:p w:rsidR="005E34BF" w:rsidRDefault="001B64CD">
            <w:pPr>
              <w:keepNext/>
              <w:keepLines/>
              <w:spacing w:after="0" w:line="240" w:lineRule="auto"/>
            </w:pPr>
            <w:r>
              <w:rPr>
                <w:sz w:val="18"/>
              </w:rPr>
              <w:t>Pomoći temeljem prijenosa EU sredstava (šifre 6381+6382)</w:t>
            </w:r>
          </w:p>
        </w:tc>
        <w:tc>
          <w:tcPr>
            <w:tcW w:w="700" w:type="dxa"/>
            <w:tcMar>
              <w:top w:w="0" w:type="dxa"/>
              <w:bottom w:w="0" w:type="dxa"/>
            </w:tcMar>
            <w:vAlign w:val="center"/>
          </w:tcPr>
          <w:p w:rsidR="005E34BF" w:rsidRDefault="001B64CD">
            <w:pPr>
              <w:keepNext/>
              <w:keepLines/>
              <w:spacing w:after="0" w:line="240" w:lineRule="auto"/>
            </w:pPr>
            <w:r>
              <w:rPr>
                <w:sz w:val="18"/>
              </w:rPr>
              <w:t>638</w:t>
            </w:r>
          </w:p>
        </w:tc>
        <w:tc>
          <w:tcPr>
            <w:tcW w:w="1860" w:type="dxa"/>
            <w:tcMar>
              <w:top w:w="0" w:type="dxa"/>
              <w:bottom w:w="0" w:type="dxa"/>
            </w:tcMar>
            <w:vAlign w:val="center"/>
          </w:tcPr>
          <w:p w:rsidR="005E34BF" w:rsidRDefault="001B64CD">
            <w:pPr>
              <w:keepNext/>
              <w:keepLines/>
              <w:spacing w:after="0" w:line="240" w:lineRule="auto"/>
              <w:jc w:val="right"/>
            </w:pPr>
            <w:r>
              <w:rPr>
                <w:sz w:val="18"/>
              </w:rPr>
              <w:t>87,91</w:t>
            </w:r>
          </w:p>
        </w:tc>
        <w:tc>
          <w:tcPr>
            <w:tcW w:w="1860" w:type="dxa"/>
            <w:tcMar>
              <w:top w:w="0" w:type="dxa"/>
              <w:bottom w:w="0" w:type="dxa"/>
            </w:tcMar>
            <w:vAlign w:val="center"/>
          </w:tcPr>
          <w:p w:rsidR="005E34BF" w:rsidRDefault="001B64CD">
            <w:pPr>
              <w:keepNext/>
              <w:keepLines/>
              <w:spacing w:after="0" w:line="240" w:lineRule="auto"/>
              <w:jc w:val="right"/>
            </w:pPr>
            <w:r>
              <w:rPr>
                <w:sz w:val="18"/>
              </w:rPr>
              <w:t>607,16</w:t>
            </w:r>
          </w:p>
        </w:tc>
        <w:tc>
          <w:tcPr>
            <w:tcW w:w="700" w:type="dxa"/>
            <w:tcMar>
              <w:top w:w="0" w:type="dxa"/>
              <w:bottom w:w="0" w:type="dxa"/>
            </w:tcMar>
            <w:vAlign w:val="center"/>
          </w:tcPr>
          <w:p w:rsidR="005E34BF" w:rsidRDefault="001B64CD">
            <w:pPr>
              <w:keepNext/>
              <w:keepLines/>
              <w:spacing w:after="0" w:line="240" w:lineRule="auto"/>
              <w:jc w:val="right"/>
            </w:pPr>
            <w:r>
              <w:rPr>
                <w:sz w:val="18"/>
              </w:rPr>
              <w:t>690,7</w:t>
            </w:r>
          </w:p>
        </w:tc>
      </w:tr>
    </w:tbl>
    <w:p w:rsidR="005E34BF" w:rsidRDefault="005E34BF">
      <w:pPr>
        <w:spacing w:after="0"/>
      </w:pPr>
    </w:p>
    <w:p w:rsidR="005E34BF" w:rsidRDefault="001B64CD">
      <w:r>
        <w:t>U izvještajnom razdoblju ostvareno je 607,16 eura prihoda temeljem pomoći prijenosa EU sredstava i odnose se na prihode od školske sheme mlijeka.</w:t>
      </w:r>
    </w:p>
    <w:p w:rsidR="005E34BF" w:rsidRDefault="005E34BF"/>
    <w:p w:rsidR="005E34BF" w:rsidRDefault="001B64CD">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w:t>
            </w:r>
            <w:r>
              <w:rPr>
                <w:b/>
                <w:sz w:val="18"/>
              </w:rPr>
              <w:t>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652</w:t>
            </w:r>
          </w:p>
        </w:tc>
        <w:tc>
          <w:tcPr>
            <w:tcW w:w="3180" w:type="dxa"/>
            <w:tcMar>
              <w:top w:w="0" w:type="dxa"/>
              <w:bottom w:w="0" w:type="dxa"/>
            </w:tcMar>
            <w:vAlign w:val="center"/>
          </w:tcPr>
          <w:p w:rsidR="005E34BF" w:rsidRDefault="001B64CD">
            <w:pPr>
              <w:keepNext/>
              <w:keepLines/>
              <w:spacing w:after="0" w:line="240" w:lineRule="auto"/>
            </w:pPr>
            <w:r>
              <w:rPr>
                <w:sz w:val="18"/>
              </w:rPr>
              <w:t>Prihodi po posebnim propisima (šifre 6521 do 6528)</w:t>
            </w:r>
          </w:p>
        </w:tc>
        <w:tc>
          <w:tcPr>
            <w:tcW w:w="700" w:type="dxa"/>
            <w:tcMar>
              <w:top w:w="0" w:type="dxa"/>
              <w:bottom w:w="0" w:type="dxa"/>
            </w:tcMar>
            <w:vAlign w:val="center"/>
          </w:tcPr>
          <w:p w:rsidR="005E34BF" w:rsidRDefault="001B64CD">
            <w:pPr>
              <w:keepNext/>
              <w:keepLines/>
              <w:spacing w:after="0" w:line="240" w:lineRule="auto"/>
            </w:pPr>
            <w:r>
              <w:rPr>
                <w:sz w:val="18"/>
              </w:rPr>
              <w:t>652</w:t>
            </w:r>
          </w:p>
        </w:tc>
        <w:tc>
          <w:tcPr>
            <w:tcW w:w="1860" w:type="dxa"/>
            <w:tcMar>
              <w:top w:w="0" w:type="dxa"/>
              <w:bottom w:w="0" w:type="dxa"/>
            </w:tcMar>
            <w:vAlign w:val="center"/>
          </w:tcPr>
          <w:p w:rsidR="005E34BF" w:rsidRDefault="001B64CD">
            <w:pPr>
              <w:keepNext/>
              <w:keepLines/>
              <w:spacing w:after="0" w:line="240" w:lineRule="auto"/>
              <w:jc w:val="right"/>
            </w:pPr>
            <w:r>
              <w:rPr>
                <w:sz w:val="18"/>
              </w:rPr>
              <w:t>1.290,00</w:t>
            </w:r>
          </w:p>
        </w:tc>
        <w:tc>
          <w:tcPr>
            <w:tcW w:w="1860" w:type="dxa"/>
            <w:tcMar>
              <w:top w:w="0" w:type="dxa"/>
              <w:bottom w:w="0" w:type="dxa"/>
            </w:tcMar>
            <w:vAlign w:val="center"/>
          </w:tcPr>
          <w:p w:rsidR="005E34BF" w:rsidRDefault="001B64CD">
            <w:pPr>
              <w:keepNext/>
              <w:keepLines/>
              <w:spacing w:after="0" w:line="240" w:lineRule="auto"/>
              <w:jc w:val="right"/>
            </w:pPr>
            <w:r>
              <w:rPr>
                <w:sz w:val="18"/>
              </w:rPr>
              <w:t>1.650,00</w:t>
            </w:r>
          </w:p>
        </w:tc>
        <w:tc>
          <w:tcPr>
            <w:tcW w:w="700" w:type="dxa"/>
            <w:tcMar>
              <w:top w:w="0" w:type="dxa"/>
              <w:bottom w:w="0" w:type="dxa"/>
            </w:tcMar>
            <w:vAlign w:val="center"/>
          </w:tcPr>
          <w:p w:rsidR="005E34BF" w:rsidRDefault="001B64CD">
            <w:pPr>
              <w:keepNext/>
              <w:keepLines/>
              <w:spacing w:after="0" w:line="240" w:lineRule="auto"/>
              <w:jc w:val="right"/>
            </w:pPr>
            <w:r>
              <w:rPr>
                <w:sz w:val="18"/>
              </w:rPr>
              <w:t>127,9</w:t>
            </w:r>
          </w:p>
        </w:tc>
      </w:tr>
    </w:tbl>
    <w:p w:rsidR="005E34BF" w:rsidRDefault="005E34BF">
      <w:pPr>
        <w:spacing w:after="0"/>
      </w:pPr>
    </w:p>
    <w:p w:rsidR="005E34BF" w:rsidRDefault="001B64CD">
      <w:r>
        <w:t>U izvještajnom razdoblju tekuće godine ostvareno je 1.650,00 eura prihoda po posebnim propisima, a odnose se na prihode od roditelja za izlete učenika.</w:t>
      </w:r>
    </w:p>
    <w:p w:rsidR="005E34BF" w:rsidRDefault="005E34BF"/>
    <w:p w:rsidR="005E34BF" w:rsidRDefault="001B64CD">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w:t>
            </w:r>
            <w:r>
              <w:rPr>
                <w:b/>
                <w:sz w:val="18"/>
              </w:rPr>
              <w:t>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663</w:t>
            </w:r>
          </w:p>
        </w:tc>
        <w:tc>
          <w:tcPr>
            <w:tcW w:w="3180" w:type="dxa"/>
            <w:tcMar>
              <w:top w:w="0" w:type="dxa"/>
              <w:bottom w:w="0" w:type="dxa"/>
            </w:tcMar>
            <w:vAlign w:val="center"/>
          </w:tcPr>
          <w:p w:rsidR="005E34BF" w:rsidRDefault="001B64CD">
            <w:pPr>
              <w:keepNext/>
              <w:keepLines/>
              <w:spacing w:after="0" w:line="240" w:lineRule="auto"/>
            </w:pPr>
            <w:r>
              <w:rPr>
                <w:sz w:val="18"/>
              </w:rPr>
              <w:t>Donacije od pravnih i fizičkih osoba izvan općeg proračuna te povrat donacija i kapitalnih pomoći po protestiranim jamstvima (šifre 6631 do 6634)</w:t>
            </w:r>
          </w:p>
        </w:tc>
        <w:tc>
          <w:tcPr>
            <w:tcW w:w="700" w:type="dxa"/>
            <w:tcMar>
              <w:top w:w="0" w:type="dxa"/>
              <w:bottom w:w="0" w:type="dxa"/>
            </w:tcMar>
            <w:vAlign w:val="center"/>
          </w:tcPr>
          <w:p w:rsidR="005E34BF" w:rsidRDefault="001B64CD">
            <w:pPr>
              <w:keepNext/>
              <w:keepLines/>
              <w:spacing w:after="0" w:line="240" w:lineRule="auto"/>
            </w:pPr>
            <w:r>
              <w:rPr>
                <w:sz w:val="18"/>
              </w:rPr>
              <w:t>663</w:t>
            </w:r>
          </w:p>
        </w:tc>
        <w:tc>
          <w:tcPr>
            <w:tcW w:w="1860" w:type="dxa"/>
            <w:tcMar>
              <w:top w:w="0" w:type="dxa"/>
              <w:bottom w:w="0" w:type="dxa"/>
            </w:tcMar>
            <w:vAlign w:val="center"/>
          </w:tcPr>
          <w:p w:rsidR="005E34BF" w:rsidRDefault="001B64CD">
            <w:pPr>
              <w:keepNext/>
              <w:keepLines/>
              <w:spacing w:after="0" w:line="240" w:lineRule="auto"/>
              <w:jc w:val="right"/>
            </w:pPr>
            <w:r>
              <w:rPr>
                <w:sz w:val="18"/>
              </w:rPr>
              <w:t>3.953,10</w:t>
            </w:r>
          </w:p>
        </w:tc>
        <w:tc>
          <w:tcPr>
            <w:tcW w:w="1860" w:type="dxa"/>
            <w:tcMar>
              <w:top w:w="0" w:type="dxa"/>
              <w:bottom w:w="0" w:type="dxa"/>
            </w:tcMar>
            <w:vAlign w:val="center"/>
          </w:tcPr>
          <w:p w:rsidR="005E34BF" w:rsidRDefault="001B64CD">
            <w:pPr>
              <w:keepNext/>
              <w:keepLines/>
              <w:spacing w:after="0" w:line="240" w:lineRule="auto"/>
              <w:jc w:val="right"/>
            </w:pPr>
            <w:r>
              <w:rPr>
                <w:sz w:val="18"/>
              </w:rPr>
              <w:t>610,00</w:t>
            </w:r>
          </w:p>
        </w:tc>
        <w:tc>
          <w:tcPr>
            <w:tcW w:w="700" w:type="dxa"/>
            <w:tcMar>
              <w:top w:w="0" w:type="dxa"/>
              <w:bottom w:w="0" w:type="dxa"/>
            </w:tcMar>
            <w:vAlign w:val="center"/>
          </w:tcPr>
          <w:p w:rsidR="005E34BF" w:rsidRDefault="001B64CD">
            <w:pPr>
              <w:keepNext/>
              <w:keepLines/>
              <w:spacing w:after="0" w:line="240" w:lineRule="auto"/>
              <w:jc w:val="right"/>
            </w:pPr>
            <w:r>
              <w:rPr>
                <w:sz w:val="18"/>
              </w:rPr>
              <w:t>15,4</w:t>
            </w:r>
          </w:p>
        </w:tc>
      </w:tr>
    </w:tbl>
    <w:p w:rsidR="005E34BF" w:rsidRDefault="005E34BF">
      <w:pPr>
        <w:spacing w:after="0"/>
      </w:pPr>
    </w:p>
    <w:p w:rsidR="005E34BF" w:rsidRDefault="001B64CD">
      <w:r>
        <w:t>U izvještajnom razdoblju tekuće godine ostvareno je 610,00 eura prihoda od donacija.  Udruga za nezavisnu medijsku kulturu donirala je 400,00 eura dok se 210,00 eura odnosi na dnevnice učiteljima od poduzeća Polet Vinkovci.</w:t>
      </w:r>
    </w:p>
    <w:p w:rsidR="005E34BF" w:rsidRDefault="005E34BF"/>
    <w:p w:rsidR="005E34BF" w:rsidRDefault="001B64CD">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671</w:t>
            </w:r>
          </w:p>
        </w:tc>
        <w:tc>
          <w:tcPr>
            <w:tcW w:w="3180" w:type="dxa"/>
            <w:tcMar>
              <w:top w:w="0" w:type="dxa"/>
              <w:bottom w:w="0" w:type="dxa"/>
            </w:tcMar>
            <w:vAlign w:val="center"/>
          </w:tcPr>
          <w:p w:rsidR="005E34BF" w:rsidRDefault="001B64CD">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rsidR="005E34BF" w:rsidRDefault="001B64CD">
            <w:pPr>
              <w:keepNext/>
              <w:keepLines/>
              <w:spacing w:after="0" w:line="240" w:lineRule="auto"/>
            </w:pPr>
            <w:r>
              <w:rPr>
                <w:sz w:val="18"/>
              </w:rPr>
              <w:t>671</w:t>
            </w:r>
          </w:p>
        </w:tc>
        <w:tc>
          <w:tcPr>
            <w:tcW w:w="1860" w:type="dxa"/>
            <w:tcMar>
              <w:top w:w="0" w:type="dxa"/>
              <w:bottom w:w="0" w:type="dxa"/>
            </w:tcMar>
            <w:vAlign w:val="center"/>
          </w:tcPr>
          <w:p w:rsidR="005E34BF" w:rsidRDefault="001B64CD">
            <w:pPr>
              <w:keepNext/>
              <w:keepLines/>
              <w:spacing w:after="0" w:line="240" w:lineRule="auto"/>
              <w:jc w:val="right"/>
            </w:pPr>
            <w:r>
              <w:rPr>
                <w:sz w:val="18"/>
              </w:rPr>
              <w:t>42.248,38</w:t>
            </w:r>
          </w:p>
        </w:tc>
        <w:tc>
          <w:tcPr>
            <w:tcW w:w="1860" w:type="dxa"/>
            <w:tcMar>
              <w:top w:w="0" w:type="dxa"/>
              <w:bottom w:w="0" w:type="dxa"/>
            </w:tcMar>
            <w:vAlign w:val="center"/>
          </w:tcPr>
          <w:p w:rsidR="005E34BF" w:rsidRDefault="001B64CD">
            <w:pPr>
              <w:keepNext/>
              <w:keepLines/>
              <w:spacing w:after="0" w:line="240" w:lineRule="auto"/>
              <w:jc w:val="right"/>
            </w:pPr>
            <w:r>
              <w:rPr>
                <w:sz w:val="18"/>
              </w:rPr>
              <w:t>47.355,89</w:t>
            </w:r>
          </w:p>
        </w:tc>
        <w:tc>
          <w:tcPr>
            <w:tcW w:w="700" w:type="dxa"/>
            <w:tcMar>
              <w:top w:w="0" w:type="dxa"/>
              <w:bottom w:w="0" w:type="dxa"/>
            </w:tcMar>
            <w:vAlign w:val="center"/>
          </w:tcPr>
          <w:p w:rsidR="005E34BF" w:rsidRDefault="001B64CD">
            <w:pPr>
              <w:keepNext/>
              <w:keepLines/>
              <w:spacing w:after="0" w:line="240" w:lineRule="auto"/>
              <w:jc w:val="right"/>
            </w:pPr>
            <w:r>
              <w:rPr>
                <w:sz w:val="18"/>
              </w:rPr>
              <w:t>112,1</w:t>
            </w:r>
          </w:p>
        </w:tc>
      </w:tr>
    </w:tbl>
    <w:p w:rsidR="005E34BF" w:rsidRDefault="005E34BF">
      <w:pPr>
        <w:spacing w:after="0"/>
      </w:pPr>
    </w:p>
    <w:p w:rsidR="005E34BF" w:rsidRDefault="001B64CD">
      <w:r>
        <w:t>U izvještajnom razdoblju ostvareno je 12,1% više prihoda iz nadležnog proračuna za financiranje redovne djelatnosti i odnosi se na prihode od Vukovarsko-srijemske županije.</w:t>
      </w:r>
    </w:p>
    <w:p w:rsidR="005E34BF" w:rsidRDefault="005E34BF"/>
    <w:p w:rsidR="005E34BF" w:rsidRDefault="001B64CD">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683</w:t>
            </w:r>
          </w:p>
        </w:tc>
        <w:tc>
          <w:tcPr>
            <w:tcW w:w="3180" w:type="dxa"/>
            <w:tcMar>
              <w:top w:w="0" w:type="dxa"/>
              <w:bottom w:w="0" w:type="dxa"/>
            </w:tcMar>
            <w:vAlign w:val="center"/>
          </w:tcPr>
          <w:p w:rsidR="005E34BF" w:rsidRDefault="001B64CD">
            <w:pPr>
              <w:keepNext/>
              <w:keepLines/>
              <w:spacing w:after="0" w:line="240" w:lineRule="auto"/>
            </w:pPr>
            <w:r>
              <w:rPr>
                <w:sz w:val="18"/>
              </w:rPr>
              <w:t>Ostali prihodi</w:t>
            </w:r>
          </w:p>
        </w:tc>
        <w:tc>
          <w:tcPr>
            <w:tcW w:w="700" w:type="dxa"/>
            <w:tcMar>
              <w:top w:w="0" w:type="dxa"/>
              <w:bottom w:w="0" w:type="dxa"/>
            </w:tcMar>
            <w:vAlign w:val="center"/>
          </w:tcPr>
          <w:p w:rsidR="005E34BF" w:rsidRDefault="001B64CD">
            <w:pPr>
              <w:keepNext/>
              <w:keepLines/>
              <w:spacing w:after="0" w:line="240" w:lineRule="auto"/>
            </w:pPr>
            <w:r>
              <w:rPr>
                <w:sz w:val="18"/>
              </w:rPr>
              <w:t>683</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1860" w:type="dxa"/>
            <w:tcMar>
              <w:top w:w="0" w:type="dxa"/>
              <w:bottom w:w="0" w:type="dxa"/>
            </w:tcMar>
            <w:vAlign w:val="center"/>
          </w:tcPr>
          <w:p w:rsidR="005E34BF" w:rsidRDefault="001B64CD">
            <w:pPr>
              <w:keepNext/>
              <w:keepLines/>
              <w:spacing w:after="0" w:line="240" w:lineRule="auto"/>
              <w:jc w:val="right"/>
            </w:pPr>
            <w:r>
              <w:rPr>
                <w:sz w:val="18"/>
              </w:rPr>
              <w:t>324,00</w:t>
            </w:r>
          </w:p>
        </w:tc>
        <w:tc>
          <w:tcPr>
            <w:tcW w:w="700" w:type="dxa"/>
            <w:tcMar>
              <w:top w:w="0" w:type="dxa"/>
              <w:bottom w:w="0" w:type="dxa"/>
            </w:tcMar>
            <w:vAlign w:val="center"/>
          </w:tcPr>
          <w:p w:rsidR="005E34BF" w:rsidRDefault="001B64CD">
            <w:pPr>
              <w:keepNext/>
              <w:keepLines/>
              <w:spacing w:after="0" w:line="240" w:lineRule="auto"/>
              <w:jc w:val="right"/>
            </w:pPr>
            <w:r>
              <w:rPr>
                <w:sz w:val="18"/>
              </w:rPr>
              <w:t>-</w:t>
            </w:r>
          </w:p>
        </w:tc>
      </w:tr>
    </w:tbl>
    <w:p w:rsidR="005E34BF" w:rsidRDefault="005E34BF">
      <w:pPr>
        <w:spacing w:after="0"/>
      </w:pPr>
    </w:p>
    <w:p w:rsidR="005E34BF" w:rsidRDefault="001B64CD">
      <w:r>
        <w:t>U izvještajnom razdoblju ostvareno je 324,00 eura prihoda od najma dvorane - naknade za materijalne troškove za korištenje prostora.</w:t>
      </w:r>
    </w:p>
    <w:p w:rsidR="005E34BF" w:rsidRDefault="005E34BF"/>
    <w:p w:rsidR="005E34BF" w:rsidRDefault="001B64CD">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w:t>
            </w:r>
            <w:r>
              <w:rPr>
                <w:b/>
                <w:sz w:val="18"/>
              </w:rPr>
              <w:t>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31</w:t>
            </w:r>
          </w:p>
        </w:tc>
        <w:tc>
          <w:tcPr>
            <w:tcW w:w="3180" w:type="dxa"/>
            <w:tcMar>
              <w:top w:w="0" w:type="dxa"/>
              <w:bottom w:w="0" w:type="dxa"/>
            </w:tcMar>
            <w:vAlign w:val="center"/>
          </w:tcPr>
          <w:p w:rsidR="005E34BF" w:rsidRDefault="001B64CD">
            <w:pPr>
              <w:keepNext/>
              <w:keepLines/>
              <w:spacing w:after="0" w:line="240" w:lineRule="auto"/>
            </w:pPr>
            <w:r>
              <w:rPr>
                <w:sz w:val="18"/>
              </w:rPr>
              <w:t>Rashodi za zaposlene (šifre 311+312+313)</w:t>
            </w:r>
          </w:p>
        </w:tc>
        <w:tc>
          <w:tcPr>
            <w:tcW w:w="700" w:type="dxa"/>
            <w:tcMar>
              <w:top w:w="0" w:type="dxa"/>
              <w:bottom w:w="0" w:type="dxa"/>
            </w:tcMar>
            <w:vAlign w:val="center"/>
          </w:tcPr>
          <w:p w:rsidR="005E34BF" w:rsidRDefault="001B64CD">
            <w:pPr>
              <w:keepNext/>
              <w:keepLines/>
              <w:spacing w:after="0" w:line="240" w:lineRule="auto"/>
            </w:pPr>
            <w:r>
              <w:rPr>
                <w:sz w:val="18"/>
              </w:rPr>
              <w:t>31</w:t>
            </w:r>
          </w:p>
        </w:tc>
        <w:tc>
          <w:tcPr>
            <w:tcW w:w="1860" w:type="dxa"/>
            <w:tcMar>
              <w:top w:w="0" w:type="dxa"/>
              <w:bottom w:w="0" w:type="dxa"/>
            </w:tcMar>
            <w:vAlign w:val="center"/>
          </w:tcPr>
          <w:p w:rsidR="005E34BF" w:rsidRDefault="001B64CD">
            <w:pPr>
              <w:keepNext/>
              <w:keepLines/>
              <w:spacing w:after="0" w:line="240" w:lineRule="auto"/>
              <w:jc w:val="right"/>
            </w:pPr>
            <w:r>
              <w:rPr>
                <w:sz w:val="18"/>
              </w:rPr>
              <w:t>773.510,45</w:t>
            </w:r>
          </w:p>
        </w:tc>
        <w:tc>
          <w:tcPr>
            <w:tcW w:w="1860" w:type="dxa"/>
            <w:tcMar>
              <w:top w:w="0" w:type="dxa"/>
              <w:bottom w:w="0" w:type="dxa"/>
            </w:tcMar>
            <w:vAlign w:val="center"/>
          </w:tcPr>
          <w:p w:rsidR="005E34BF" w:rsidRDefault="001B64CD">
            <w:pPr>
              <w:keepNext/>
              <w:keepLines/>
              <w:spacing w:after="0" w:line="240" w:lineRule="auto"/>
              <w:jc w:val="right"/>
            </w:pPr>
            <w:r>
              <w:rPr>
                <w:sz w:val="18"/>
              </w:rPr>
              <w:t>708.918,15</w:t>
            </w:r>
          </w:p>
        </w:tc>
        <w:tc>
          <w:tcPr>
            <w:tcW w:w="700" w:type="dxa"/>
            <w:tcMar>
              <w:top w:w="0" w:type="dxa"/>
              <w:bottom w:w="0" w:type="dxa"/>
            </w:tcMar>
            <w:vAlign w:val="center"/>
          </w:tcPr>
          <w:p w:rsidR="005E34BF" w:rsidRDefault="001B64CD">
            <w:pPr>
              <w:keepNext/>
              <w:keepLines/>
              <w:spacing w:after="0" w:line="240" w:lineRule="auto"/>
              <w:jc w:val="right"/>
            </w:pPr>
            <w:r>
              <w:rPr>
                <w:sz w:val="18"/>
              </w:rPr>
              <w:t>91,6</w:t>
            </w:r>
          </w:p>
        </w:tc>
      </w:tr>
    </w:tbl>
    <w:p w:rsidR="005E34BF" w:rsidRDefault="005E34BF">
      <w:pPr>
        <w:spacing w:after="0"/>
      </w:pPr>
    </w:p>
    <w:p w:rsidR="005E34BF" w:rsidRDefault="001B64CD">
      <w:r>
        <w:t>Rashodi za zaposlene u izvještajnom razdoblju tekuće godine iznose 708.918,15 eura što je za 8,4% manje u odnosu na izvještajno razdoblje prethodne godine. Smanjenje rashoda u izvještajnom razdoblju rezultat je ukidanje podskupine 193.</w:t>
      </w:r>
    </w:p>
    <w:p w:rsidR="005E34BF" w:rsidRDefault="005E34BF"/>
    <w:p w:rsidR="005E34BF" w:rsidRDefault="001B64CD">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Račun i</w:t>
            </w:r>
            <w:r>
              <w:rPr>
                <w:b/>
                <w:sz w:val="18"/>
              </w:rPr>
              <w:t xml:space="preserve">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32</w:t>
            </w:r>
          </w:p>
        </w:tc>
        <w:tc>
          <w:tcPr>
            <w:tcW w:w="3180" w:type="dxa"/>
            <w:tcMar>
              <w:top w:w="0" w:type="dxa"/>
              <w:bottom w:w="0" w:type="dxa"/>
            </w:tcMar>
            <w:vAlign w:val="center"/>
          </w:tcPr>
          <w:p w:rsidR="005E34BF" w:rsidRDefault="001B64CD">
            <w:pPr>
              <w:keepNext/>
              <w:keepLines/>
              <w:spacing w:after="0" w:line="240" w:lineRule="auto"/>
            </w:pPr>
            <w:r>
              <w:rPr>
                <w:sz w:val="18"/>
              </w:rPr>
              <w:t>Materijalni rashodi (šifre 321+322+323+324+325+329)</w:t>
            </w:r>
          </w:p>
        </w:tc>
        <w:tc>
          <w:tcPr>
            <w:tcW w:w="700" w:type="dxa"/>
            <w:tcMar>
              <w:top w:w="0" w:type="dxa"/>
              <w:bottom w:w="0" w:type="dxa"/>
            </w:tcMar>
            <w:vAlign w:val="center"/>
          </w:tcPr>
          <w:p w:rsidR="005E34BF" w:rsidRDefault="001B64CD">
            <w:pPr>
              <w:keepNext/>
              <w:keepLines/>
              <w:spacing w:after="0" w:line="240" w:lineRule="auto"/>
            </w:pPr>
            <w:r>
              <w:rPr>
                <w:sz w:val="18"/>
              </w:rPr>
              <w:t>32</w:t>
            </w:r>
          </w:p>
        </w:tc>
        <w:tc>
          <w:tcPr>
            <w:tcW w:w="1860" w:type="dxa"/>
            <w:tcMar>
              <w:top w:w="0" w:type="dxa"/>
              <w:bottom w:w="0" w:type="dxa"/>
            </w:tcMar>
            <w:vAlign w:val="center"/>
          </w:tcPr>
          <w:p w:rsidR="005E34BF" w:rsidRDefault="001B64CD">
            <w:pPr>
              <w:keepNext/>
              <w:keepLines/>
              <w:spacing w:after="0" w:line="240" w:lineRule="auto"/>
              <w:jc w:val="right"/>
            </w:pPr>
            <w:r>
              <w:rPr>
                <w:sz w:val="18"/>
              </w:rPr>
              <w:t>108.324,63</w:t>
            </w:r>
          </w:p>
        </w:tc>
        <w:tc>
          <w:tcPr>
            <w:tcW w:w="1860" w:type="dxa"/>
            <w:tcMar>
              <w:top w:w="0" w:type="dxa"/>
              <w:bottom w:w="0" w:type="dxa"/>
            </w:tcMar>
            <w:vAlign w:val="center"/>
          </w:tcPr>
          <w:p w:rsidR="005E34BF" w:rsidRDefault="001B64CD">
            <w:pPr>
              <w:keepNext/>
              <w:keepLines/>
              <w:spacing w:after="0" w:line="240" w:lineRule="auto"/>
              <w:jc w:val="right"/>
            </w:pPr>
            <w:r>
              <w:rPr>
                <w:sz w:val="18"/>
              </w:rPr>
              <w:t>105.743,72</w:t>
            </w:r>
          </w:p>
        </w:tc>
        <w:tc>
          <w:tcPr>
            <w:tcW w:w="700" w:type="dxa"/>
            <w:tcMar>
              <w:top w:w="0" w:type="dxa"/>
              <w:bottom w:w="0" w:type="dxa"/>
            </w:tcMar>
            <w:vAlign w:val="center"/>
          </w:tcPr>
          <w:p w:rsidR="005E34BF" w:rsidRDefault="001B64CD">
            <w:pPr>
              <w:keepNext/>
              <w:keepLines/>
              <w:spacing w:after="0" w:line="240" w:lineRule="auto"/>
              <w:jc w:val="right"/>
            </w:pPr>
            <w:r>
              <w:rPr>
                <w:sz w:val="18"/>
              </w:rPr>
              <w:t>97,6</w:t>
            </w:r>
          </w:p>
        </w:tc>
      </w:tr>
    </w:tbl>
    <w:p w:rsidR="005E34BF" w:rsidRDefault="005E34BF">
      <w:pPr>
        <w:spacing w:after="0"/>
      </w:pPr>
    </w:p>
    <w:p w:rsidR="005E34BF" w:rsidRDefault="001B64CD">
      <w:proofErr w:type="spellStart"/>
      <w:r>
        <w:t>Materijani</w:t>
      </w:r>
      <w:proofErr w:type="spellEnd"/>
      <w:r>
        <w:t xml:space="preserve"> rashodi u izvještajnom razdoblju iznose 105.743,72 eura što je za 2,4% manje u odnosu na ostvareno u izvještajnom razdoblju prethodne godine.</w:t>
      </w:r>
    </w:p>
    <w:p w:rsidR="005E34BF" w:rsidRDefault="005E34BF"/>
    <w:p w:rsidR="005E34BF" w:rsidRDefault="001B64CD">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3233</w:t>
            </w:r>
          </w:p>
        </w:tc>
        <w:tc>
          <w:tcPr>
            <w:tcW w:w="3180" w:type="dxa"/>
            <w:tcMar>
              <w:top w:w="0" w:type="dxa"/>
              <w:bottom w:w="0" w:type="dxa"/>
            </w:tcMar>
            <w:vAlign w:val="center"/>
          </w:tcPr>
          <w:p w:rsidR="005E34BF" w:rsidRDefault="001B64CD">
            <w:pPr>
              <w:keepNext/>
              <w:keepLines/>
              <w:spacing w:after="0" w:line="240" w:lineRule="auto"/>
            </w:pPr>
            <w:r>
              <w:rPr>
                <w:sz w:val="18"/>
              </w:rPr>
              <w:t>Usluge promidžbe i informiranja</w:t>
            </w:r>
          </w:p>
        </w:tc>
        <w:tc>
          <w:tcPr>
            <w:tcW w:w="700" w:type="dxa"/>
            <w:tcMar>
              <w:top w:w="0" w:type="dxa"/>
              <w:bottom w:w="0" w:type="dxa"/>
            </w:tcMar>
            <w:vAlign w:val="center"/>
          </w:tcPr>
          <w:p w:rsidR="005E34BF" w:rsidRDefault="001B64CD">
            <w:pPr>
              <w:keepNext/>
              <w:keepLines/>
              <w:spacing w:after="0" w:line="240" w:lineRule="auto"/>
            </w:pPr>
            <w:r>
              <w:rPr>
                <w:sz w:val="18"/>
              </w:rPr>
              <w:t>3233</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1860" w:type="dxa"/>
            <w:tcMar>
              <w:top w:w="0" w:type="dxa"/>
              <w:bottom w:w="0" w:type="dxa"/>
            </w:tcMar>
            <w:vAlign w:val="center"/>
          </w:tcPr>
          <w:p w:rsidR="005E34BF" w:rsidRDefault="001B64CD">
            <w:pPr>
              <w:keepNext/>
              <w:keepLines/>
              <w:spacing w:after="0" w:line="240" w:lineRule="auto"/>
              <w:jc w:val="right"/>
            </w:pPr>
            <w:r>
              <w:rPr>
                <w:sz w:val="18"/>
              </w:rPr>
              <w:t>907,75</w:t>
            </w:r>
          </w:p>
        </w:tc>
        <w:tc>
          <w:tcPr>
            <w:tcW w:w="700" w:type="dxa"/>
            <w:tcMar>
              <w:top w:w="0" w:type="dxa"/>
              <w:bottom w:w="0" w:type="dxa"/>
            </w:tcMar>
            <w:vAlign w:val="center"/>
          </w:tcPr>
          <w:p w:rsidR="005E34BF" w:rsidRDefault="001B64CD">
            <w:pPr>
              <w:keepNext/>
              <w:keepLines/>
              <w:spacing w:after="0" w:line="240" w:lineRule="auto"/>
              <w:jc w:val="right"/>
            </w:pPr>
            <w:r>
              <w:rPr>
                <w:sz w:val="18"/>
              </w:rPr>
              <w:t>-</w:t>
            </w:r>
          </w:p>
        </w:tc>
      </w:tr>
    </w:tbl>
    <w:p w:rsidR="005E34BF" w:rsidRDefault="005E34BF">
      <w:pPr>
        <w:spacing w:after="0"/>
      </w:pPr>
    </w:p>
    <w:p w:rsidR="005E34BF" w:rsidRDefault="001B64CD">
      <w:r>
        <w:t>Usluge promidžbe i informiranja u izv</w:t>
      </w:r>
      <w:r>
        <w:t>ještaj</w:t>
      </w:r>
      <w:r>
        <w:t>nom razdoblju tekuće godine iznose 907,75 eura i odnose se na objavu natječaja za ravnatelja u Narodnim novinama.</w:t>
      </w:r>
    </w:p>
    <w:p w:rsidR="005E34BF" w:rsidRDefault="005E34BF"/>
    <w:p w:rsidR="005E34BF" w:rsidRDefault="001B64CD">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w:t>
            </w:r>
            <w:r>
              <w:rPr>
                <w:b/>
                <w:sz w:val="18"/>
              </w:rPr>
              <w:t>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3236</w:t>
            </w:r>
          </w:p>
        </w:tc>
        <w:tc>
          <w:tcPr>
            <w:tcW w:w="3180" w:type="dxa"/>
            <w:tcMar>
              <w:top w:w="0" w:type="dxa"/>
              <w:bottom w:w="0" w:type="dxa"/>
            </w:tcMar>
            <w:vAlign w:val="center"/>
          </w:tcPr>
          <w:p w:rsidR="005E34BF" w:rsidRDefault="001B64CD">
            <w:pPr>
              <w:keepNext/>
              <w:keepLines/>
              <w:spacing w:after="0" w:line="240" w:lineRule="auto"/>
            </w:pPr>
            <w:r>
              <w:rPr>
                <w:sz w:val="18"/>
              </w:rPr>
              <w:t>Zdravstvene i veterinarske usluge</w:t>
            </w:r>
          </w:p>
        </w:tc>
        <w:tc>
          <w:tcPr>
            <w:tcW w:w="700" w:type="dxa"/>
            <w:tcMar>
              <w:top w:w="0" w:type="dxa"/>
              <w:bottom w:w="0" w:type="dxa"/>
            </w:tcMar>
            <w:vAlign w:val="center"/>
          </w:tcPr>
          <w:p w:rsidR="005E34BF" w:rsidRDefault="001B64CD">
            <w:pPr>
              <w:keepNext/>
              <w:keepLines/>
              <w:spacing w:after="0" w:line="240" w:lineRule="auto"/>
            </w:pPr>
            <w:r>
              <w:rPr>
                <w:sz w:val="18"/>
              </w:rPr>
              <w:t>3236</w:t>
            </w:r>
          </w:p>
        </w:tc>
        <w:tc>
          <w:tcPr>
            <w:tcW w:w="1860" w:type="dxa"/>
            <w:tcMar>
              <w:top w:w="0" w:type="dxa"/>
              <w:bottom w:w="0" w:type="dxa"/>
            </w:tcMar>
            <w:vAlign w:val="center"/>
          </w:tcPr>
          <w:p w:rsidR="005E34BF" w:rsidRDefault="001B64CD">
            <w:pPr>
              <w:keepNext/>
              <w:keepLines/>
              <w:spacing w:after="0" w:line="240" w:lineRule="auto"/>
              <w:jc w:val="right"/>
            </w:pPr>
            <w:r>
              <w:rPr>
                <w:sz w:val="18"/>
              </w:rPr>
              <w:t>349,79</w:t>
            </w:r>
          </w:p>
        </w:tc>
        <w:tc>
          <w:tcPr>
            <w:tcW w:w="1860" w:type="dxa"/>
            <w:tcMar>
              <w:top w:w="0" w:type="dxa"/>
              <w:bottom w:w="0" w:type="dxa"/>
            </w:tcMar>
            <w:vAlign w:val="center"/>
          </w:tcPr>
          <w:p w:rsidR="005E34BF" w:rsidRDefault="001B64CD">
            <w:pPr>
              <w:keepNext/>
              <w:keepLines/>
              <w:spacing w:after="0" w:line="240" w:lineRule="auto"/>
              <w:jc w:val="right"/>
            </w:pPr>
            <w:r>
              <w:rPr>
                <w:sz w:val="18"/>
              </w:rPr>
              <w:t>3.678,60</w:t>
            </w:r>
          </w:p>
        </w:tc>
        <w:tc>
          <w:tcPr>
            <w:tcW w:w="700" w:type="dxa"/>
            <w:tcMar>
              <w:top w:w="0" w:type="dxa"/>
              <w:bottom w:w="0" w:type="dxa"/>
            </w:tcMar>
            <w:vAlign w:val="center"/>
          </w:tcPr>
          <w:p w:rsidR="005E34BF" w:rsidRDefault="001B64CD">
            <w:pPr>
              <w:keepNext/>
              <w:keepLines/>
              <w:spacing w:after="0" w:line="240" w:lineRule="auto"/>
              <w:jc w:val="right"/>
            </w:pPr>
            <w:r>
              <w:rPr>
                <w:sz w:val="18"/>
              </w:rPr>
              <w:t>1051,7</w:t>
            </w:r>
          </w:p>
        </w:tc>
      </w:tr>
    </w:tbl>
    <w:p w:rsidR="005E34BF" w:rsidRDefault="005E34BF">
      <w:pPr>
        <w:spacing w:after="0"/>
      </w:pPr>
    </w:p>
    <w:p w:rsidR="005E34BF" w:rsidRDefault="001B64CD">
      <w:r>
        <w:t>Zdravstvene i veterinarske usluge u izvještajnom razdoblju tekuće godine iznose 3.678,60 eura. U odnosu na izvještajno razdoblje prethodne godine došlo je do značajnog povećanja iz razloga što je u izvještajnom razdoblju tekuće obavljen sistematski pregled</w:t>
      </w:r>
      <w:r>
        <w:t xml:space="preserve"> djelatnika  i analize vode na </w:t>
      </w:r>
      <w:proofErr w:type="spellStart"/>
      <w:r>
        <w:t>legionell</w:t>
      </w:r>
      <w:r>
        <w:t>u</w:t>
      </w:r>
      <w:proofErr w:type="spellEnd"/>
      <w:r>
        <w:t xml:space="preserve">  </w:t>
      </w:r>
      <w:r>
        <w:t>i olovo.</w:t>
      </w:r>
    </w:p>
    <w:p w:rsidR="005E34BF" w:rsidRDefault="005E34BF"/>
    <w:p w:rsidR="005E34BF" w:rsidRDefault="001B64CD">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7211</w:t>
            </w:r>
          </w:p>
        </w:tc>
        <w:tc>
          <w:tcPr>
            <w:tcW w:w="3180" w:type="dxa"/>
            <w:tcMar>
              <w:top w:w="0" w:type="dxa"/>
              <w:bottom w:w="0" w:type="dxa"/>
            </w:tcMar>
            <w:vAlign w:val="center"/>
          </w:tcPr>
          <w:p w:rsidR="005E34BF" w:rsidRDefault="001B64CD">
            <w:pPr>
              <w:keepNext/>
              <w:keepLines/>
              <w:spacing w:after="0" w:line="240" w:lineRule="auto"/>
            </w:pPr>
            <w:r>
              <w:rPr>
                <w:sz w:val="18"/>
              </w:rPr>
              <w:t>Stambeni objekti</w:t>
            </w:r>
          </w:p>
        </w:tc>
        <w:tc>
          <w:tcPr>
            <w:tcW w:w="700" w:type="dxa"/>
            <w:tcMar>
              <w:top w:w="0" w:type="dxa"/>
              <w:bottom w:w="0" w:type="dxa"/>
            </w:tcMar>
            <w:vAlign w:val="center"/>
          </w:tcPr>
          <w:p w:rsidR="005E34BF" w:rsidRDefault="001B64CD">
            <w:pPr>
              <w:keepNext/>
              <w:keepLines/>
              <w:spacing w:after="0" w:line="240" w:lineRule="auto"/>
            </w:pPr>
            <w:r>
              <w:rPr>
                <w:sz w:val="18"/>
              </w:rPr>
              <w:t>7211</w:t>
            </w:r>
          </w:p>
        </w:tc>
        <w:tc>
          <w:tcPr>
            <w:tcW w:w="1860" w:type="dxa"/>
            <w:tcMar>
              <w:top w:w="0" w:type="dxa"/>
              <w:bottom w:w="0" w:type="dxa"/>
            </w:tcMar>
            <w:vAlign w:val="center"/>
          </w:tcPr>
          <w:p w:rsidR="005E34BF" w:rsidRDefault="001B64CD">
            <w:pPr>
              <w:keepNext/>
              <w:keepLines/>
              <w:spacing w:after="0" w:line="240" w:lineRule="auto"/>
              <w:jc w:val="right"/>
            </w:pPr>
            <w:r>
              <w:rPr>
                <w:sz w:val="18"/>
              </w:rPr>
              <w:t>0,00</w:t>
            </w:r>
          </w:p>
        </w:tc>
        <w:tc>
          <w:tcPr>
            <w:tcW w:w="1860" w:type="dxa"/>
            <w:tcMar>
              <w:top w:w="0" w:type="dxa"/>
              <w:bottom w:w="0" w:type="dxa"/>
            </w:tcMar>
            <w:vAlign w:val="center"/>
          </w:tcPr>
          <w:p w:rsidR="005E34BF" w:rsidRDefault="001B64CD">
            <w:pPr>
              <w:keepNext/>
              <w:keepLines/>
              <w:spacing w:after="0" w:line="240" w:lineRule="auto"/>
              <w:jc w:val="right"/>
            </w:pPr>
            <w:r>
              <w:rPr>
                <w:sz w:val="18"/>
              </w:rPr>
              <w:t>22.000,00</w:t>
            </w:r>
          </w:p>
        </w:tc>
        <w:tc>
          <w:tcPr>
            <w:tcW w:w="700" w:type="dxa"/>
            <w:tcMar>
              <w:top w:w="0" w:type="dxa"/>
              <w:bottom w:w="0" w:type="dxa"/>
            </w:tcMar>
            <w:vAlign w:val="center"/>
          </w:tcPr>
          <w:p w:rsidR="005E34BF" w:rsidRDefault="001B64CD">
            <w:pPr>
              <w:keepNext/>
              <w:keepLines/>
              <w:spacing w:after="0" w:line="240" w:lineRule="auto"/>
              <w:jc w:val="right"/>
            </w:pPr>
            <w:r>
              <w:rPr>
                <w:sz w:val="18"/>
              </w:rPr>
              <w:t>-</w:t>
            </w:r>
          </w:p>
        </w:tc>
      </w:tr>
    </w:tbl>
    <w:p w:rsidR="005E34BF" w:rsidRDefault="005E34BF">
      <w:pPr>
        <w:spacing w:after="0"/>
      </w:pPr>
    </w:p>
    <w:p w:rsidR="005E34BF" w:rsidRDefault="001B64CD">
      <w:r>
        <w:t>U izvještajnom razdoblju tekuće godine ostvareno je 22.000,00 eura prihoda od prodaje nefinancijske imovine i odnosi se na prodaju školskog stana.</w:t>
      </w:r>
    </w:p>
    <w:p w:rsidR="005E34BF" w:rsidRDefault="005E34BF"/>
    <w:p w:rsidR="005E34BF" w:rsidRDefault="001B64CD">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1B64CD">
            <w:pPr>
              <w:keepNext/>
              <w:keepLines/>
              <w:spacing w:after="0" w:line="240" w:lineRule="auto"/>
            </w:pPr>
            <w:r>
              <w:rPr>
                <w:sz w:val="18"/>
              </w:rPr>
              <w:t>42</w:t>
            </w:r>
          </w:p>
        </w:tc>
        <w:tc>
          <w:tcPr>
            <w:tcW w:w="3180" w:type="dxa"/>
            <w:tcMar>
              <w:top w:w="0" w:type="dxa"/>
              <w:bottom w:w="0" w:type="dxa"/>
            </w:tcMar>
            <w:vAlign w:val="center"/>
          </w:tcPr>
          <w:p w:rsidR="005E34BF" w:rsidRDefault="001B64CD">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rsidR="005E34BF" w:rsidRDefault="001B64CD">
            <w:pPr>
              <w:keepNext/>
              <w:keepLines/>
              <w:spacing w:after="0" w:line="240" w:lineRule="auto"/>
            </w:pPr>
            <w:r>
              <w:rPr>
                <w:sz w:val="18"/>
              </w:rPr>
              <w:t>42</w:t>
            </w:r>
          </w:p>
        </w:tc>
        <w:tc>
          <w:tcPr>
            <w:tcW w:w="1860" w:type="dxa"/>
            <w:tcMar>
              <w:top w:w="0" w:type="dxa"/>
              <w:bottom w:w="0" w:type="dxa"/>
            </w:tcMar>
            <w:vAlign w:val="center"/>
          </w:tcPr>
          <w:p w:rsidR="005E34BF" w:rsidRDefault="001B64CD">
            <w:pPr>
              <w:keepNext/>
              <w:keepLines/>
              <w:spacing w:after="0" w:line="240" w:lineRule="auto"/>
              <w:jc w:val="right"/>
            </w:pPr>
            <w:r>
              <w:rPr>
                <w:sz w:val="18"/>
              </w:rPr>
              <w:t>6.978,09</w:t>
            </w:r>
          </w:p>
        </w:tc>
        <w:tc>
          <w:tcPr>
            <w:tcW w:w="1860" w:type="dxa"/>
            <w:tcMar>
              <w:top w:w="0" w:type="dxa"/>
              <w:bottom w:w="0" w:type="dxa"/>
            </w:tcMar>
            <w:vAlign w:val="center"/>
          </w:tcPr>
          <w:p w:rsidR="005E34BF" w:rsidRDefault="001B64CD">
            <w:pPr>
              <w:keepNext/>
              <w:keepLines/>
              <w:spacing w:after="0" w:line="240" w:lineRule="auto"/>
              <w:jc w:val="right"/>
            </w:pPr>
            <w:r>
              <w:rPr>
                <w:sz w:val="18"/>
              </w:rPr>
              <w:t>10.325,08</w:t>
            </w:r>
          </w:p>
        </w:tc>
        <w:tc>
          <w:tcPr>
            <w:tcW w:w="700" w:type="dxa"/>
            <w:tcMar>
              <w:top w:w="0" w:type="dxa"/>
              <w:bottom w:w="0" w:type="dxa"/>
            </w:tcMar>
            <w:vAlign w:val="center"/>
          </w:tcPr>
          <w:p w:rsidR="005E34BF" w:rsidRDefault="001B64CD">
            <w:pPr>
              <w:keepNext/>
              <w:keepLines/>
              <w:spacing w:after="0" w:line="240" w:lineRule="auto"/>
              <w:jc w:val="right"/>
            </w:pPr>
            <w:r>
              <w:rPr>
                <w:sz w:val="18"/>
              </w:rPr>
              <w:t>148,0</w:t>
            </w:r>
          </w:p>
        </w:tc>
      </w:tr>
    </w:tbl>
    <w:p w:rsidR="005E34BF" w:rsidRDefault="005E34BF">
      <w:pPr>
        <w:spacing w:after="0"/>
      </w:pPr>
    </w:p>
    <w:p w:rsidR="005E34BF" w:rsidRDefault="001B64CD">
      <w:r>
        <w:t>Rashodi za nabavu proizvedene dugotrajne imovine u izvještajnom razdoblju tekuće godine iznose 10.325,08 eura i odnose se na nabavu klima uređaja za učionice i manjim dijelom za nabavu uredske opreme i namještaja.</w:t>
      </w:r>
    </w:p>
    <w:p w:rsidR="005E34BF" w:rsidRDefault="005E34BF"/>
    <w:p w:rsidR="005E34BF" w:rsidRDefault="001B64CD">
      <w:pPr>
        <w:keepNext/>
        <w:spacing w:line="240" w:lineRule="auto"/>
        <w:jc w:val="center"/>
      </w:pPr>
      <w:r>
        <w:rPr>
          <w:b/>
          <w:sz w:val="28"/>
        </w:rPr>
        <w:t>Izvještaj o obvezama</w:t>
      </w:r>
    </w:p>
    <w:p w:rsidR="005E34BF" w:rsidRDefault="001B64CD">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5E34BF">
        <w:tblPrEx>
          <w:tblCellMar>
            <w:top w:w="0" w:type="dxa"/>
            <w:bottom w:w="0" w:type="dxa"/>
          </w:tblCellMar>
        </w:tblPrEx>
        <w:trPr>
          <w:cantSplit/>
        </w:trPr>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Račun i</w:t>
            </w:r>
            <w:r>
              <w:rPr>
                <w:b/>
                <w:sz w:val="18"/>
              </w:rPr>
              <w:t xml:space="preserve">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5E34BF" w:rsidRDefault="001B64CD">
            <w:pPr>
              <w:keepNext/>
              <w:keepLines/>
              <w:spacing w:after="0" w:line="240" w:lineRule="auto"/>
              <w:jc w:val="center"/>
            </w:pPr>
            <w:r>
              <w:rPr>
                <w:b/>
                <w:sz w:val="18"/>
              </w:rPr>
              <w:t>Indeks (%)</w:t>
            </w:r>
          </w:p>
        </w:tc>
      </w:tr>
      <w:tr w:rsidR="005E34BF">
        <w:tblPrEx>
          <w:tblCellMar>
            <w:top w:w="0" w:type="dxa"/>
            <w:bottom w:w="0" w:type="dxa"/>
          </w:tblCellMar>
        </w:tblPrEx>
        <w:trPr>
          <w:cantSplit/>
          <w:trHeight w:val="560"/>
        </w:trPr>
        <w:tc>
          <w:tcPr>
            <w:tcW w:w="700" w:type="dxa"/>
            <w:tcMar>
              <w:top w:w="0" w:type="dxa"/>
              <w:bottom w:w="0" w:type="dxa"/>
            </w:tcMar>
            <w:vAlign w:val="center"/>
          </w:tcPr>
          <w:p w:rsidR="005E34BF" w:rsidRDefault="005E34BF">
            <w:pPr>
              <w:keepNext/>
              <w:keepLines/>
              <w:spacing w:after="0" w:line="240" w:lineRule="auto"/>
            </w:pPr>
          </w:p>
        </w:tc>
        <w:tc>
          <w:tcPr>
            <w:tcW w:w="3180" w:type="dxa"/>
            <w:tcMar>
              <w:top w:w="0" w:type="dxa"/>
              <w:bottom w:w="0" w:type="dxa"/>
            </w:tcMar>
            <w:vAlign w:val="center"/>
          </w:tcPr>
          <w:p w:rsidR="005E34BF" w:rsidRDefault="001B64CD">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5E34BF" w:rsidRDefault="001B64CD">
            <w:pPr>
              <w:keepNext/>
              <w:keepLines/>
              <w:spacing w:after="0" w:line="240" w:lineRule="auto"/>
            </w:pPr>
            <w:r>
              <w:rPr>
                <w:sz w:val="18"/>
              </w:rPr>
              <w:t>V007</w:t>
            </w:r>
          </w:p>
        </w:tc>
        <w:tc>
          <w:tcPr>
            <w:tcW w:w="1860" w:type="dxa"/>
            <w:tcMar>
              <w:top w:w="0" w:type="dxa"/>
              <w:bottom w:w="0" w:type="dxa"/>
            </w:tcMar>
            <w:vAlign w:val="center"/>
          </w:tcPr>
          <w:p w:rsidR="005E34BF" w:rsidRDefault="001B64CD">
            <w:pPr>
              <w:keepNext/>
              <w:keepLines/>
              <w:spacing w:after="0" w:line="240" w:lineRule="auto"/>
              <w:jc w:val="right"/>
            </w:pPr>
            <w:r>
              <w:rPr>
                <w:sz w:val="18"/>
              </w:rPr>
              <w:t>495,13</w:t>
            </w:r>
          </w:p>
        </w:tc>
        <w:tc>
          <w:tcPr>
            <w:tcW w:w="700" w:type="dxa"/>
            <w:tcMar>
              <w:top w:w="0" w:type="dxa"/>
              <w:bottom w:w="0" w:type="dxa"/>
            </w:tcMar>
            <w:vAlign w:val="center"/>
          </w:tcPr>
          <w:p w:rsidR="005E34BF" w:rsidRDefault="001B64CD">
            <w:pPr>
              <w:keepNext/>
              <w:keepLines/>
              <w:spacing w:after="0" w:line="240" w:lineRule="auto"/>
              <w:jc w:val="right"/>
            </w:pPr>
            <w:r>
              <w:rPr>
                <w:sz w:val="18"/>
              </w:rPr>
              <w:t>-</w:t>
            </w:r>
          </w:p>
        </w:tc>
      </w:tr>
    </w:tbl>
    <w:p w:rsidR="005E34BF" w:rsidRDefault="005E34BF">
      <w:pPr>
        <w:spacing w:after="0"/>
      </w:pPr>
    </w:p>
    <w:p w:rsidR="005E34BF" w:rsidRDefault="001B64CD">
      <w:r>
        <w:t xml:space="preserve">Stanje dospjelih obveza na kraju izvještajnog razdoblja iznosi 495,13 eura. Odnosi se na račune za namirnice za šk. </w:t>
      </w:r>
      <w:r>
        <w:t>kuhinju i prekoračenje je od 1-60 dana. Računi su plaćeni u srpnju 2026. godine.</w:t>
      </w:r>
    </w:p>
    <w:p w:rsidR="005E34BF" w:rsidRDefault="005E34BF"/>
    <w:p w:rsidR="005E34BF" w:rsidRDefault="001B64CD">
      <w:pPr>
        <w:keepNext/>
        <w:spacing w:line="240" w:lineRule="auto"/>
        <w:jc w:val="center"/>
      </w:pPr>
      <w:r>
        <w:rPr>
          <w:sz w:val="28"/>
        </w:rPr>
        <w:t>Bilješka 15.</w:t>
      </w:r>
    </w:p>
    <w:p w:rsidR="005E34BF" w:rsidRDefault="001B64CD">
      <w:pPr>
        <w:spacing w:line="240" w:lineRule="auto"/>
        <w:jc w:val="both"/>
      </w:pPr>
      <w:r>
        <w:rPr>
          <w:b/>
        </w:rPr>
        <w:t>EU izvještaj</w:t>
      </w:r>
    </w:p>
    <w:p w:rsidR="005E34BF" w:rsidRDefault="001B64CD">
      <w:r>
        <w:t>U izvještajnom razdoblju ostvaren</w:t>
      </w:r>
      <w:r>
        <w:t xml:space="preserve">o je 607,16 eura prihoda i odnosi se na projekt šk. </w:t>
      </w:r>
      <w:bookmarkStart w:id="0" w:name="_GoBack"/>
      <w:bookmarkEnd w:id="0"/>
      <w:r>
        <w:t>sheme mlijeka u šk. 2025/2026. godini (europski poljoprivredni jamstveni fond). Rashodi u izvještajnom razdoblju iznose 620,92 eura i odnose se na namirnice u sk</w:t>
      </w:r>
      <w:r>
        <w:t xml:space="preserve">lopu šk. </w:t>
      </w:r>
      <w:r>
        <w:t>sheme mlijeka.</w:t>
      </w:r>
    </w:p>
    <w:p w:rsidR="005E34BF" w:rsidRDefault="005E34BF"/>
    <w:sectPr w:rsidR="005E34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E34BF"/>
    <w:rsid w:val="001B64CD"/>
    <w:rsid w:val="005E34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68DF"/>
  <w15:docId w15:val="{D678B076-A8B8-46F7-A404-EF526442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1286</Words>
  <Characters>7331</Characters>
  <Application>Microsoft Office Word</Application>
  <DocSecurity>0</DocSecurity>
  <Lines>61</Lines>
  <Paragraphs>17</Paragraphs>
  <ScaleCrop>false</ScaleCrop>
  <Company>HP Inc.</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Albina Albina</cp:lastModifiedBy>
  <cp:revision>2</cp:revision>
  <dcterms:created xsi:type="dcterms:W3CDTF">2026-07-15T07:27:00Z</dcterms:created>
  <dcterms:modified xsi:type="dcterms:W3CDTF">2026-07-15T07:28:00Z</dcterms:modified>
</cp:coreProperties>
</file>